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申请书(申请不公开审理用)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不公开审理你院(××××)……号……(写明当事人和案由)一案。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……(写明申请不公开审理的事实和理由)。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1．本样式根据《中华人民共和国民事诉讼法》第一百三十四条制定，供人民法院受理民事案件后，当事人向人民法院申请不公开审理用。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不公开审理包括两类案件：一类是法定不公开审理，指涉及国家秘密、个人隐私或者法律另有规定不公开审理的案件；另一类是依当事人申请而不公开审理，指离婚案件、涉及商业秘密的案件，当事人可以向人民法院申请不公开审理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09A8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66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0C37-78C9-4CD3-B411-64CFB8156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2019-03-29T14:52:00Z</dcterms:created>
  <dc:creator>Synxnice</dc:creator>
  <cp:lastModifiedBy>keep moving</cp:lastModifiedBy>
  <dcterms:modified xsi:type="dcterms:W3CDTF">2022-06-03T12:35:18Z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AAE54F39679B420DAA3485073AF0A2EE</vt:lpwstr>
  </property>
</Properties>
</file>