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民政局标准版离婚协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议范本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/>
          <w:color w:val="ACACAC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sz w:val="29"/>
          <w:szCs w:val="29"/>
          <w:bdr w:val="none" w:color="auto" w:sz="0" w:space="0"/>
        </w:rPr>
        <w:t>男方： ，身份证号： ，住址： 区 街道(身份证地址)。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女方： ，身份证号： ，住址： 区 街道。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男女双方于 　年　　月　　日登记结婚，于　　年　　月　　日生儿子　　　。现因夫妻感情破裂，已无和好可能，在平等、自愿的基础上，经双方共同协商，达成协议如下：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一、 双方自愿离婚。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二、 儿子xx由男方监护抚养，女方支付抚养费　　元/月，一年一付，每年　月　日前支付，上述款项包括学费、生活费、女方应付至儿子大学毕业。(考虑到通货膨胀因素每年适当递增位　　%)，但如遇儿子重大疾病住院治疗或意外伤害等特殊情况需较大开支，由双方各半承担;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三、 夫妻共同财产按以下分割：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1、男方一次性支付女方 万元(该款包括但不限于女方拆迁补偿、安置、过渡、奖励等费用)，在双方办理离婚登记手续后，当日付清。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2、车辆归男方所有;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3、现有家具、家电等家庭用品全部归 所有。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4、双方目前自有现金归各自所有。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四、 双方无共同债权、债务。婚姻关系存续期间个人债务由个人承担，与对方无涉。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五、 女方对儿子享有探视权，男方应积极配合，原则上每月 次，具体时间、方式双方另行协商。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六、 本协议书一式三份，男女双方各执一份，婚姻登记机关存档一份。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</w:pPr>
      <w:r>
        <w:rPr>
          <w:sz w:val="29"/>
          <w:szCs w:val="29"/>
          <w:bdr w:val="none" w:color="auto" w:sz="0" w:space="0"/>
        </w:rPr>
        <w:t>男方：　　　　女方：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</w:pPr>
      <w:r>
        <w:rPr>
          <w:sz w:val="29"/>
          <w:szCs w:val="29"/>
          <w:bdr w:val="none" w:color="auto" w:sz="0" w:space="0"/>
        </w:rPr>
        <w:t>年 月 日　　　　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A4944"/>
    <w:rsid w:val="7AD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2018-02-01T06:50:00Z</dcterms:created>
  <dc:creator>张先森</dc:creator>
  <cp:lastModifiedBy>张先森</cp:lastModifiedBy>
  <dcterms:modified xsi:type="dcterms:W3CDTF">2018-02-01T07:40:10Z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