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离婚协议书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男方：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出生日期：                              身份证号：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女方：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出生日期：                              身份证号：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双方于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日在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省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</w:t>
      </w:r>
      <w:r>
        <w:rPr>
          <w:rFonts w:hint="eastAsia" w:ascii="仿宋" w:hAnsi="仿宋" w:eastAsia="仿宋" w:cs="仿宋"/>
          <w:color w:val="000000"/>
          <w:sz w:val="24"/>
        </w:rPr>
        <w:t>市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区登记结婚。现夫妻感情已经完全破裂，没有和好可能，经双方协商达成一致意见，订立离婚协议如下：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一、男女双方自愿离婚。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二、夫妻共同财产的处理：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无共同财产。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三、债权与债务的处理：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双方确认在婚姻关系存续期间没有发生任何共同债务，任何一方如对外负有债务的，由负债方自行承担。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四、一方隐瞒或转移夫妻共同财产的责任：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五、经济帮助及精神赔偿：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因女方生活困难，男方同意一次性支付补偿经济帮助金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元给女方。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鉴于男方要求离婚的原因，男方应另外一次性补偿女方精神损害费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元。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上述男方应支付的款项，均应于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</w:rPr>
        <w:t>日前支付完毕。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六、附则：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本协议一式三份，男、女双方各执一份，婚姻登记机关存档一份，自婚姻登记机颁发《离婚证》之日起生效。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 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</w:rPr>
        <w:t>甲方（签字）：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</w:rPr>
        <w:t>乙方（签字）：</w:t>
      </w:r>
    </w:p>
    <w:p>
      <w:pPr>
        <w:rPr>
          <w:rFonts w:hint="eastAsia" w:ascii="仿宋" w:hAnsi="仿宋" w:eastAsia="仿宋" w:cs="仿宋"/>
          <w:b/>
          <w:color w:val="000000"/>
          <w:sz w:val="24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签订时间：        年        月        日</w:t>
      </w:r>
    </w:p>
    <w:p>
      <w:pPr>
        <w:tabs>
          <w:tab w:val="left" w:pos="1740"/>
        </w:tabs>
        <w:jc w:val="left"/>
        <w:rPr>
          <w:rFonts w:hint="eastAsia" w:eastAsia="仿宋"/>
          <w:lang w:eastAsia="zh-CN"/>
        </w:rPr>
      </w:pP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33573490"/>
    <w:rsid w:val="569F1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qFormat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qFormat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2018-03-29T04:19:00Z</dcterms:created>
  <dc:creator>Administrator</dc:creator>
  <cp:lastModifiedBy>张先森</cp:lastModifiedBy>
  <dcterms:modified xsi:type="dcterms:W3CDTF">2018-03-29T10:02:05Z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