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99D" w:rsidRDefault="006A199D" w:rsidP="006A199D">
      <w:pPr>
        <w:widowControl/>
        <w:shd w:val="clear" w:color="auto" w:fill="FFFFFF"/>
        <w:spacing w:line="600" w:lineRule="atLeast"/>
        <w:jc w:val="center"/>
        <w:rPr>
          <w:rFonts w:ascii="Tahoma" w:eastAsia="宋体" w:hAnsi="Tahoma" w:cs="Tahoma" w:hint="eastAsia"/>
          <w:color w:val="000000"/>
          <w:kern w:val="0"/>
          <w:sz w:val="24"/>
          <w:szCs w:val="24"/>
        </w:rPr>
      </w:pPr>
      <w:r w:rsidRPr="006A199D">
        <w:rPr>
          <w:rFonts w:ascii="Tahoma" w:eastAsia="宋体" w:hAnsi="Tahoma" w:cs="Tahoma"/>
          <w:b/>
          <w:bCs/>
          <w:color w:val="000000"/>
          <w:kern w:val="0"/>
          <w:sz w:val="27"/>
        </w:rPr>
        <w:t>股权结构顶层设计方案</w:t>
      </w:r>
      <w:r w:rsidR="00C30818">
        <w:rPr>
          <w:rFonts w:ascii="Tahoma" w:eastAsia="宋体" w:hAnsi="Tahoma" w:cs="Tahoma" w:hint="eastAsia"/>
          <w:b/>
          <w:bCs/>
          <w:color w:val="000000"/>
          <w:kern w:val="0"/>
          <w:sz w:val="27"/>
        </w:rPr>
        <w:t>（案例）</w:t>
      </w:r>
      <w:r w:rsidRPr="006A199D">
        <w:rPr>
          <w:rFonts w:ascii="Arial" w:eastAsia="宋体" w:hAnsi="Arial" w:cs="Arial"/>
          <w:color w:val="000000"/>
          <w:kern w:val="0"/>
          <w:szCs w:val="21"/>
        </w:rPr>
        <w:br/>
      </w:r>
    </w:p>
    <w:p w:rsidR="004F79CA" w:rsidRDefault="004F79CA" w:rsidP="006A199D">
      <w:pPr>
        <w:widowControl/>
        <w:shd w:val="clear" w:color="auto" w:fill="FFFFFF"/>
        <w:spacing w:line="600" w:lineRule="atLeast"/>
        <w:jc w:val="center"/>
        <w:rPr>
          <w:rFonts w:ascii="Tahoma" w:eastAsia="宋体" w:hAnsi="Tahoma" w:cs="Tahoma" w:hint="eastAsia"/>
          <w:color w:val="000000"/>
          <w:kern w:val="0"/>
          <w:sz w:val="24"/>
          <w:szCs w:val="24"/>
        </w:rPr>
      </w:pPr>
    </w:p>
    <w:p w:rsidR="004F79CA" w:rsidRPr="006A199D" w:rsidRDefault="004F79CA" w:rsidP="006A199D">
      <w:pPr>
        <w:widowControl/>
        <w:shd w:val="clear" w:color="auto" w:fill="FFFFFF"/>
        <w:spacing w:line="600" w:lineRule="atLeast"/>
        <w:jc w:val="center"/>
        <w:rPr>
          <w:rFonts w:ascii="Arial" w:eastAsia="宋体" w:hAnsi="Arial" w:cs="Arial"/>
          <w:color w:val="000000"/>
          <w:kern w:val="0"/>
          <w:szCs w:val="21"/>
        </w:rPr>
      </w:pP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最近碰见几个企业的实际控制人、控股股东都在问一个问题，是直接持股上市好呢，还是先设一个控股公司再持股拟上市公司上市好呢，正好前面也做过一些分析，拿出来分享一下。</w:t>
      </w:r>
    </w:p>
    <w:p w:rsidR="006A199D" w:rsidRPr="006A199D" w:rsidRDefault="00FC4A65" w:rsidP="006A199D">
      <w:pPr>
        <w:widowControl/>
        <w:shd w:val="clear" w:color="auto" w:fill="FFFFFF"/>
        <w:spacing w:line="420" w:lineRule="atLeast"/>
        <w:jc w:val="left"/>
        <w:rPr>
          <w:rFonts w:ascii="Arial" w:eastAsia="宋体" w:hAnsi="Arial" w:cs="Arial"/>
          <w:color w:val="000000"/>
          <w:kern w:val="0"/>
          <w:szCs w:val="21"/>
        </w:rPr>
      </w:pPr>
      <w:r>
        <w:rPr>
          <w:rFonts w:ascii="Tahoma" w:eastAsia="宋体" w:hAnsi="Tahoma" w:cs="Tahoma"/>
          <w:noProof/>
          <w:color w:val="000000"/>
          <w:kern w:val="0"/>
          <w:sz w:val="24"/>
          <w:szCs w:val="24"/>
        </w:rPr>
        <w:pict>
          <v:roundrect id="_x0000_s1026" style="position:absolute;margin-left:332.25pt;margin-top:103.8pt;width:106.5pt;height:23.25pt;z-index:251658240" arcsize="10923f"/>
        </w:pict>
      </w:r>
      <w:r w:rsidR="006A199D">
        <w:rPr>
          <w:rFonts w:ascii="Tahoma" w:eastAsia="宋体" w:hAnsi="Tahoma" w:cs="Tahoma"/>
          <w:noProof/>
          <w:color w:val="000000"/>
          <w:kern w:val="0"/>
          <w:sz w:val="24"/>
          <w:szCs w:val="24"/>
        </w:rPr>
        <w:drawing>
          <wp:inline distT="0" distB="0" distL="0" distR="0">
            <wp:extent cx="5467350" cy="1676400"/>
            <wp:effectExtent l="19050" t="0" r="0" b="0"/>
            <wp:docPr id="1" name="aimg_Sy6ku" descr="http://mmbiz.qpic.cn/mmbiz/xjnZUuqglYEydIJwy3uYibsiaAKlVVJvHzkOnTggT0LDbcmIjpdqRL25nJ6gRpbKbGYTcpLsTDpZ5oyoj7EET9gA/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Sy6ku" descr="http://mmbiz.qpic.cn/mmbiz/xjnZUuqglYEydIJwy3uYibsiaAKlVVJvHzkOnTggT0LDbcmIjpdqRL25nJ6gRpbKbGYTcpLsTDpZ5oyoj7EET9gA/640"/>
                    <pic:cNvPicPr>
                      <a:picLocks noChangeAspect="1" noChangeArrowheads="1"/>
                    </pic:cNvPicPr>
                  </pic:nvPicPr>
                  <pic:blipFill>
                    <a:blip r:embed="rId6"/>
                    <a:srcRect/>
                    <a:stretch>
                      <a:fillRect/>
                    </a:stretch>
                  </pic:blipFill>
                  <pic:spPr bwMode="auto">
                    <a:xfrm>
                      <a:off x="0" y="0"/>
                      <a:ext cx="5467350" cy="1676400"/>
                    </a:xfrm>
                    <a:prstGeom prst="rect">
                      <a:avLst/>
                    </a:prstGeom>
                    <a:noFill/>
                    <a:ln w="9525">
                      <a:noFill/>
                      <a:miter lim="800000"/>
                      <a:headEnd/>
                      <a:tailEnd/>
                    </a:ln>
                  </pic:spPr>
                </pic:pic>
              </a:graphicData>
            </a:graphic>
          </wp:inline>
        </w:drawing>
      </w:r>
      <w:r w:rsidR="006A199D" w:rsidRPr="006A199D">
        <w:rPr>
          <w:rFonts w:ascii="Tahoma" w:eastAsia="宋体" w:hAnsi="Tahoma" w:cs="Tahoma"/>
          <w:color w:val="000000"/>
          <w:kern w:val="0"/>
          <w:sz w:val="24"/>
          <w:szCs w:val="24"/>
        </w:rPr>
        <w:br/>
      </w:r>
      <w:r w:rsidR="006A199D" w:rsidRPr="006A199D">
        <w:rPr>
          <w:rFonts w:ascii="Tahoma" w:eastAsia="宋体" w:hAnsi="Tahoma" w:cs="Tahoma"/>
          <w:color w:val="000000"/>
          <w:kern w:val="0"/>
          <w:sz w:val="24"/>
          <w:szCs w:val="24"/>
        </w:rPr>
        <w:t>或者</w:t>
      </w:r>
    </w:p>
    <w:p w:rsidR="006A199D" w:rsidRPr="006A199D" w:rsidRDefault="00FC4A65" w:rsidP="006A199D">
      <w:pPr>
        <w:widowControl/>
        <w:shd w:val="clear" w:color="auto" w:fill="FFFFFF"/>
        <w:spacing w:line="420" w:lineRule="atLeast"/>
        <w:jc w:val="left"/>
        <w:rPr>
          <w:rFonts w:ascii="Arial" w:eastAsia="宋体" w:hAnsi="Arial" w:cs="Arial"/>
          <w:color w:val="000000"/>
          <w:kern w:val="0"/>
          <w:szCs w:val="21"/>
        </w:rPr>
      </w:pPr>
      <w:r>
        <w:rPr>
          <w:rFonts w:ascii="Tahoma" w:eastAsia="宋体" w:hAnsi="Tahoma" w:cs="Tahoma"/>
          <w:noProof/>
          <w:color w:val="000000"/>
          <w:kern w:val="0"/>
          <w:sz w:val="24"/>
          <w:szCs w:val="24"/>
        </w:rPr>
        <w:pict>
          <v:roundrect id="_x0000_s1027" style="position:absolute;margin-left:366pt;margin-top:144.9pt;width:106.5pt;height:23.25pt;z-index:251659264" arcsize="10923f"/>
        </w:pict>
      </w:r>
      <w:r w:rsidR="006A199D">
        <w:rPr>
          <w:rFonts w:ascii="Tahoma" w:eastAsia="宋体" w:hAnsi="Tahoma" w:cs="Tahoma"/>
          <w:noProof/>
          <w:color w:val="000000"/>
          <w:kern w:val="0"/>
          <w:sz w:val="24"/>
          <w:szCs w:val="24"/>
        </w:rPr>
        <w:drawing>
          <wp:inline distT="0" distB="0" distL="0" distR="0">
            <wp:extent cx="5715000" cy="2181225"/>
            <wp:effectExtent l="19050" t="0" r="0" b="0"/>
            <wp:docPr id="2" name="aimg_r4oXp" descr="http://mmbiz.qpic.cn/mmbiz/xjnZUuqglYEydIJwy3uYibsiaAKlVVJvHzeBTNggGOvGasxmWZ6qqSnEXCN0z5N4iawBeKVE6YYSExUCickw8nzJmg/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r4oXp" descr="http://mmbiz.qpic.cn/mmbiz/xjnZUuqglYEydIJwy3uYibsiaAKlVVJvHzeBTNggGOvGasxmWZ6qqSnEXCN0z5N4iawBeKVE6YYSExUCickw8nzJmg/640"/>
                    <pic:cNvPicPr>
                      <a:picLocks noChangeAspect="1" noChangeArrowheads="1"/>
                    </pic:cNvPicPr>
                  </pic:nvPicPr>
                  <pic:blipFill>
                    <a:blip r:embed="rId7"/>
                    <a:srcRect/>
                    <a:stretch>
                      <a:fillRect/>
                    </a:stretch>
                  </pic:blipFill>
                  <pic:spPr bwMode="auto">
                    <a:xfrm>
                      <a:off x="0" y="0"/>
                      <a:ext cx="5715000" cy="2181225"/>
                    </a:xfrm>
                    <a:prstGeom prst="rect">
                      <a:avLst/>
                    </a:prstGeom>
                    <a:noFill/>
                    <a:ln w="9525">
                      <a:noFill/>
                      <a:miter lim="800000"/>
                      <a:headEnd/>
                      <a:tailEnd/>
                    </a:ln>
                  </pic:spPr>
                </pic:pic>
              </a:graphicData>
            </a:graphic>
          </wp:inline>
        </w:drawing>
      </w:r>
      <w:r w:rsidR="006A199D" w:rsidRPr="006A199D">
        <w:rPr>
          <w:rFonts w:ascii="Tahoma" w:eastAsia="宋体" w:hAnsi="Tahoma" w:cs="Tahoma"/>
          <w:color w:val="000000"/>
          <w:kern w:val="0"/>
          <w:sz w:val="24"/>
          <w:szCs w:val="24"/>
        </w:rPr>
        <w:br/>
      </w:r>
      <w:r w:rsidR="006A199D" w:rsidRPr="006A199D">
        <w:rPr>
          <w:rFonts w:ascii="Tahoma" w:eastAsia="宋体" w:hAnsi="Tahoma" w:cs="Tahoma"/>
          <w:color w:val="000000"/>
          <w:kern w:val="0"/>
          <w:sz w:val="24"/>
          <w:szCs w:val="24"/>
        </w:rPr>
        <w:t>自然人直接持股与控股公司持股只是持股方式不同而已，不影响控股股东的合计持股比例。但是基于以下原因，一般而言，我们是建议实际控制人最好成立一个控股公司对拟上市公司持股，然后再去上市，当然可以留少量一部分用于直接持股。</w:t>
      </w:r>
      <w:r w:rsidR="006A199D" w:rsidRPr="006A199D">
        <w:rPr>
          <w:rFonts w:ascii="Tahoma" w:eastAsia="宋体" w:hAnsi="Tahoma" w:cs="Tahoma"/>
          <w:color w:val="000000"/>
          <w:kern w:val="0"/>
          <w:sz w:val="24"/>
          <w:szCs w:val="24"/>
        </w:rPr>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b/>
          <w:bCs/>
          <w:color w:val="48D1CC"/>
          <w:kern w:val="0"/>
          <w:sz w:val="24"/>
          <w:szCs w:val="24"/>
        </w:rPr>
        <w:lastRenderedPageBreak/>
        <w:t>一、集中股权，提高对上市公司的控制力，提高在并购重组过程中以股权作为支付方式能力。</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看两个例子一目了然。</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某上市公司（信息来源于招股书）</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公司控股股东、董事长钱忠良为实际制人。管理团队主要成员雷斌、汪建军、卜文海、王海滨、尹显庸、杨燎、张军、李远恩、张曹、龚崇明、王浩、姚兵、田琳、杨勇、黄文勇、李成静、贾云刚、冯嫔、盛科、叶娟、蓝灵以及王定英、睢迎春共</w:t>
      </w:r>
      <w:r w:rsidRPr="006A199D">
        <w:rPr>
          <w:rFonts w:ascii="Tahoma" w:eastAsia="宋体" w:hAnsi="Tahoma" w:cs="Tahoma"/>
          <w:color w:val="000000"/>
          <w:kern w:val="0"/>
          <w:sz w:val="24"/>
          <w:szCs w:val="24"/>
        </w:rPr>
        <w:t xml:space="preserve"> 23</w:t>
      </w:r>
      <w:r w:rsidRPr="006A199D">
        <w:rPr>
          <w:rFonts w:ascii="Tahoma" w:eastAsia="宋体" w:hAnsi="Tahoma" w:cs="Tahoma"/>
          <w:color w:val="000000"/>
          <w:kern w:val="0"/>
          <w:sz w:val="24"/>
          <w:szCs w:val="24"/>
        </w:rPr>
        <w:t>人为一致行动人。</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Pr>
          <w:rFonts w:ascii="Tahoma" w:eastAsia="宋体" w:hAnsi="Tahoma" w:cs="Tahoma"/>
          <w:noProof/>
          <w:color w:val="000000"/>
          <w:kern w:val="0"/>
          <w:sz w:val="24"/>
          <w:szCs w:val="24"/>
        </w:rPr>
        <w:drawing>
          <wp:inline distT="0" distB="0" distL="0" distR="0">
            <wp:extent cx="4981575" cy="4133850"/>
            <wp:effectExtent l="19050" t="0" r="9525" b="0"/>
            <wp:docPr id="3" name="aimg_spJOs" descr="http://mmbiz.qpic.cn/mmbiz/xjnZUuqglYEydIJwy3uYibsiaAKlVVJvHz7pOwqEudTNeYZtGRAI4LCDB51YR9rQgkqCXiaySv5Jl0uFPuTvbeSag/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spJOs" descr="http://mmbiz.qpic.cn/mmbiz/xjnZUuqglYEydIJwy3uYibsiaAKlVVJvHz7pOwqEudTNeYZtGRAI4LCDB51YR9rQgkqCXiaySv5Jl0uFPuTvbeSag/640"/>
                    <pic:cNvPicPr>
                      <a:picLocks noChangeAspect="1" noChangeArrowheads="1"/>
                    </pic:cNvPicPr>
                  </pic:nvPicPr>
                  <pic:blipFill>
                    <a:blip r:embed="rId8"/>
                    <a:srcRect/>
                    <a:stretch>
                      <a:fillRect/>
                    </a:stretch>
                  </pic:blipFill>
                  <pic:spPr bwMode="auto">
                    <a:xfrm>
                      <a:off x="0" y="0"/>
                      <a:ext cx="4981575" cy="4133850"/>
                    </a:xfrm>
                    <a:prstGeom prst="rect">
                      <a:avLst/>
                    </a:prstGeom>
                    <a:noFill/>
                    <a:ln w="9525">
                      <a:noFill/>
                      <a:miter lim="800000"/>
                      <a:headEnd/>
                      <a:tailEnd/>
                    </a:ln>
                  </pic:spPr>
                </pic:pic>
              </a:graphicData>
            </a:graphic>
          </wp:inline>
        </w:drawing>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股权如此分散，首发上市后控股股东、实际控制人钱忠良的股份更被稀释。按照</w:t>
      </w:r>
      <w:r w:rsidRPr="006A199D">
        <w:rPr>
          <w:rFonts w:ascii="Tahoma" w:eastAsia="宋体" w:hAnsi="Tahoma" w:cs="Tahoma"/>
          <w:color w:val="000000"/>
          <w:kern w:val="0"/>
          <w:sz w:val="24"/>
          <w:szCs w:val="24"/>
        </w:rPr>
        <w:t>2014</w:t>
      </w:r>
      <w:r w:rsidRPr="006A199D">
        <w:rPr>
          <w:rFonts w:ascii="Tahoma" w:eastAsia="宋体" w:hAnsi="Tahoma" w:cs="Tahoma"/>
          <w:color w:val="000000"/>
          <w:kern w:val="0"/>
          <w:sz w:val="24"/>
          <w:szCs w:val="24"/>
        </w:rPr>
        <w:t>年</w:t>
      </w:r>
      <w:r w:rsidRPr="006A199D">
        <w:rPr>
          <w:rFonts w:ascii="Tahoma" w:eastAsia="宋体" w:hAnsi="Tahoma" w:cs="Tahoma"/>
          <w:color w:val="000000"/>
          <w:kern w:val="0"/>
          <w:sz w:val="24"/>
          <w:szCs w:val="24"/>
        </w:rPr>
        <w:t>11</w:t>
      </w:r>
      <w:r w:rsidRPr="006A199D">
        <w:rPr>
          <w:rFonts w:ascii="Tahoma" w:eastAsia="宋体" w:hAnsi="Tahoma" w:cs="Tahoma"/>
          <w:color w:val="000000"/>
          <w:kern w:val="0"/>
          <w:sz w:val="24"/>
          <w:szCs w:val="24"/>
        </w:rPr>
        <w:t>月</w:t>
      </w:r>
      <w:r w:rsidRPr="006A199D">
        <w:rPr>
          <w:rFonts w:ascii="Tahoma" w:eastAsia="宋体" w:hAnsi="Tahoma" w:cs="Tahoma"/>
          <w:color w:val="000000"/>
          <w:kern w:val="0"/>
          <w:sz w:val="24"/>
          <w:szCs w:val="24"/>
        </w:rPr>
        <w:t>26</w:t>
      </w:r>
      <w:r w:rsidRPr="006A199D">
        <w:rPr>
          <w:rFonts w:ascii="Tahoma" w:eastAsia="宋体" w:hAnsi="Tahoma" w:cs="Tahoma"/>
          <w:color w:val="000000"/>
          <w:kern w:val="0"/>
          <w:sz w:val="24"/>
          <w:szCs w:val="24"/>
        </w:rPr>
        <w:t>日的收盘价计算，钱忠良的股份市值仅为</w:t>
      </w:r>
      <w:r w:rsidRPr="006A199D">
        <w:rPr>
          <w:rFonts w:ascii="Tahoma" w:eastAsia="宋体" w:hAnsi="Tahoma" w:cs="Tahoma"/>
          <w:color w:val="000000"/>
          <w:kern w:val="0"/>
          <w:sz w:val="24"/>
          <w:szCs w:val="24"/>
        </w:rPr>
        <w:t>3.5</w:t>
      </w:r>
      <w:r w:rsidRPr="006A199D">
        <w:rPr>
          <w:rFonts w:ascii="Tahoma" w:eastAsia="宋体" w:hAnsi="Tahoma" w:cs="Tahoma"/>
          <w:color w:val="000000"/>
          <w:kern w:val="0"/>
          <w:sz w:val="24"/>
          <w:szCs w:val="24"/>
        </w:rPr>
        <w:t>亿元左右，也就是说目前只要收购一个标的以股份支付的话，价值超过</w:t>
      </w:r>
      <w:r w:rsidRPr="006A199D">
        <w:rPr>
          <w:rFonts w:ascii="Tahoma" w:eastAsia="宋体" w:hAnsi="Tahoma" w:cs="Tahoma"/>
          <w:color w:val="000000"/>
          <w:kern w:val="0"/>
          <w:sz w:val="24"/>
          <w:szCs w:val="24"/>
        </w:rPr>
        <w:t>3.5</w:t>
      </w:r>
      <w:r w:rsidRPr="006A199D">
        <w:rPr>
          <w:rFonts w:ascii="Tahoma" w:eastAsia="宋体" w:hAnsi="Tahoma" w:cs="Tahoma"/>
          <w:color w:val="000000"/>
          <w:kern w:val="0"/>
          <w:sz w:val="24"/>
          <w:szCs w:val="24"/>
        </w:rPr>
        <w:t>个亿其控股地位就不保（虽然有一致行动协议，但是多麻烦啊）。如果将这些一致行动人全部放在一个公司然后对上市公司持股，那么控股股东的持股比例就会高很多，对外并购股权支付的空间就会大很多。</w:t>
      </w:r>
    </w:p>
    <w:p w:rsidR="006A199D" w:rsidRPr="006A199D" w:rsidRDefault="006A199D" w:rsidP="006A199D">
      <w:pPr>
        <w:widowControl/>
        <w:jc w:val="left"/>
        <w:rPr>
          <w:rFonts w:ascii="宋体" w:eastAsia="宋体" w:hAnsi="宋体" w:cs="宋体"/>
          <w:kern w:val="0"/>
          <w:sz w:val="24"/>
          <w:szCs w:val="24"/>
        </w:rPr>
      </w:pPr>
      <w:r w:rsidRPr="006A199D">
        <w:rPr>
          <w:rFonts w:ascii="Arial" w:eastAsia="宋体" w:hAnsi="Arial" w:cs="Arial"/>
          <w:color w:val="000000"/>
          <w:kern w:val="0"/>
          <w:szCs w:val="21"/>
        </w:rPr>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另一上市公司</w:t>
      </w:r>
    </w:p>
    <w:p w:rsidR="006A199D" w:rsidRPr="006A199D" w:rsidRDefault="0018099F" w:rsidP="006A199D">
      <w:pPr>
        <w:widowControl/>
        <w:shd w:val="clear" w:color="auto" w:fill="FFFFFF"/>
        <w:spacing w:line="420" w:lineRule="atLeast"/>
        <w:jc w:val="left"/>
        <w:rPr>
          <w:rFonts w:ascii="Arial" w:eastAsia="宋体" w:hAnsi="Arial" w:cs="Arial"/>
          <w:color w:val="000000"/>
          <w:kern w:val="0"/>
          <w:szCs w:val="21"/>
        </w:rPr>
      </w:pPr>
      <w:r>
        <w:rPr>
          <w:rFonts w:ascii="Tahoma" w:eastAsia="宋体" w:hAnsi="Tahoma" w:cs="Tahoma"/>
          <w:noProof/>
          <w:color w:val="000000"/>
          <w:kern w:val="0"/>
          <w:sz w:val="24"/>
          <w:szCs w:val="24"/>
        </w:rPr>
        <w:lastRenderedPageBreak/>
        <w:pict>
          <v:roundrect id="_x0000_s1029" style="position:absolute;margin-left:338.25pt;margin-top:262.5pt;width:106.5pt;height:23.25pt;z-index:251660288" arcsize="10923f"/>
        </w:pict>
      </w:r>
      <w:r w:rsidR="006A199D">
        <w:rPr>
          <w:rFonts w:ascii="Tahoma" w:eastAsia="宋体" w:hAnsi="Tahoma" w:cs="Tahoma"/>
          <w:noProof/>
          <w:color w:val="000000"/>
          <w:kern w:val="0"/>
          <w:sz w:val="24"/>
          <w:szCs w:val="24"/>
        </w:rPr>
        <w:drawing>
          <wp:inline distT="0" distB="0" distL="0" distR="0">
            <wp:extent cx="5715000" cy="3752850"/>
            <wp:effectExtent l="19050" t="0" r="0" b="0"/>
            <wp:docPr id="4" name="aimg_hO01p" descr="http://mmbiz.qpic.cn/mmbiz/xjnZUuqglYEydIJwy3uYibsiaAKlVVJvHzKua8GKIybXELCcrcRSsHKvW1on7whzK7H9Do4iccgnqDgpy0ENX7DK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hO01p" descr="http://mmbiz.qpic.cn/mmbiz/xjnZUuqglYEydIJwy3uYibsiaAKlVVJvHzKua8GKIybXELCcrcRSsHKvW1on7whzK7H9Do4iccgnqDgpy0ENX7DKw/640"/>
                    <pic:cNvPicPr>
                      <a:picLocks noChangeAspect="1" noChangeArrowheads="1"/>
                    </pic:cNvPicPr>
                  </pic:nvPicPr>
                  <pic:blipFill>
                    <a:blip r:embed="rId9"/>
                    <a:srcRect/>
                    <a:stretch>
                      <a:fillRect/>
                    </a:stretch>
                  </pic:blipFill>
                  <pic:spPr bwMode="auto">
                    <a:xfrm>
                      <a:off x="0" y="0"/>
                      <a:ext cx="5715000" cy="3752850"/>
                    </a:xfrm>
                    <a:prstGeom prst="rect">
                      <a:avLst/>
                    </a:prstGeom>
                    <a:noFill/>
                    <a:ln w="9525">
                      <a:noFill/>
                      <a:miter lim="800000"/>
                      <a:headEnd/>
                      <a:tailEnd/>
                    </a:ln>
                  </pic:spPr>
                </pic:pic>
              </a:graphicData>
            </a:graphic>
          </wp:inline>
        </w:drawing>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公司控股股东为长江润发集团，实际控制人为郁全和、郁霞秋、邱其琴及黄忠和四位自然人。其中，郁霞秋为郁全和之女，邱其琴为郁全和之堂侄女婿，黄忠和为郁全和之妻侄。要是他们都非得要直接持有股份公司的股份，四个人合起来也就是</w:t>
      </w:r>
      <w:r w:rsidRPr="006A199D">
        <w:rPr>
          <w:rFonts w:ascii="Tahoma" w:eastAsia="宋体" w:hAnsi="Tahoma" w:cs="Tahoma"/>
          <w:color w:val="000000"/>
          <w:kern w:val="0"/>
          <w:sz w:val="24"/>
          <w:szCs w:val="24"/>
        </w:rPr>
        <w:t>16%</w:t>
      </w:r>
      <w:r w:rsidRPr="006A199D">
        <w:rPr>
          <w:rFonts w:ascii="Tahoma" w:eastAsia="宋体" w:hAnsi="Tahoma" w:cs="Tahoma"/>
          <w:color w:val="000000"/>
          <w:kern w:val="0"/>
          <w:sz w:val="24"/>
          <w:szCs w:val="24"/>
        </w:rPr>
        <w:t>左右股份，淹没在众多自然人股东中，根本谈不上控制长江润发。</w:t>
      </w:r>
    </w:p>
    <w:p w:rsidR="006A199D" w:rsidRPr="006A199D" w:rsidRDefault="006A199D" w:rsidP="006A199D">
      <w:pPr>
        <w:widowControl/>
        <w:jc w:val="left"/>
        <w:rPr>
          <w:rFonts w:ascii="宋体" w:eastAsia="宋体" w:hAnsi="宋体" w:cs="宋体"/>
          <w:kern w:val="0"/>
          <w:sz w:val="24"/>
          <w:szCs w:val="24"/>
        </w:rPr>
      </w:pPr>
      <w:r w:rsidRPr="006A199D">
        <w:rPr>
          <w:rFonts w:ascii="Arial" w:eastAsia="宋体" w:hAnsi="Arial" w:cs="Arial"/>
          <w:color w:val="000000"/>
          <w:kern w:val="0"/>
          <w:szCs w:val="21"/>
        </w:rPr>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b/>
          <w:bCs/>
          <w:color w:val="48D1CC"/>
          <w:kern w:val="0"/>
          <w:sz w:val="24"/>
          <w:szCs w:val="24"/>
        </w:rPr>
        <w:t>二、简化上市公司信息决策流程，不用等到在上市公司的股东大会上再进行决策。</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由于通过将自然人股东放在控股公司层面，在股份公司进行重大决策时，可以先在控股公司层面通过法定程序将不同意见排除，便于股份公司重大决策的进行。比如在改制重组、</w:t>
      </w:r>
      <w:r w:rsidRPr="006A199D">
        <w:rPr>
          <w:rFonts w:ascii="Tahoma" w:eastAsia="宋体" w:hAnsi="Tahoma" w:cs="Tahoma"/>
          <w:color w:val="000000"/>
          <w:kern w:val="0"/>
          <w:sz w:val="24"/>
          <w:szCs w:val="24"/>
        </w:rPr>
        <w:t>IPO</w:t>
      </w:r>
      <w:r w:rsidRPr="006A199D">
        <w:rPr>
          <w:rFonts w:ascii="Tahoma" w:eastAsia="宋体" w:hAnsi="Tahoma" w:cs="Tahoma"/>
          <w:color w:val="000000"/>
          <w:kern w:val="0"/>
          <w:sz w:val="24"/>
          <w:szCs w:val="24"/>
        </w:rPr>
        <w:t>等会议时，若是持有控股股东极小股权的股东不同意，那么在控股股东层面通过公司法对有限公司的决策权限的界定，可以形成最终的决定，保证股份公司的重大事项继续进行。而若是股份公司层面，在改制重组、</w:t>
      </w:r>
      <w:r w:rsidRPr="006A199D">
        <w:rPr>
          <w:rFonts w:ascii="Tahoma" w:eastAsia="宋体" w:hAnsi="Tahoma" w:cs="Tahoma"/>
          <w:color w:val="000000"/>
          <w:kern w:val="0"/>
          <w:sz w:val="24"/>
          <w:szCs w:val="24"/>
        </w:rPr>
        <w:t>IPO</w:t>
      </w:r>
      <w:r w:rsidRPr="006A199D">
        <w:rPr>
          <w:rFonts w:ascii="Tahoma" w:eastAsia="宋体" w:hAnsi="Tahoma" w:cs="Tahoma"/>
          <w:color w:val="000000"/>
          <w:kern w:val="0"/>
          <w:sz w:val="24"/>
          <w:szCs w:val="24"/>
        </w:rPr>
        <w:t>等重大事项中哪怕有一个小股东不同意签字，在实际操作中也会导致该事项进展暂缓，解决完他们的诉求才能继续。</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再说一个比较明显的事情，若公司股东是几十个自然人，开一个必须到齐的股东大会非常难，要拿到每个人的亲笔签字更是更麻烦，尤其是有一些仅仅是财务投资人，不是公司员工的情况下。而若是能尽量将股权收拢，只需要法人股东的股东会决议加上公章就可以了，就简单多了。</w:t>
      </w:r>
    </w:p>
    <w:p w:rsidR="006A199D" w:rsidRPr="006A199D" w:rsidRDefault="006A199D" w:rsidP="006A199D">
      <w:pPr>
        <w:widowControl/>
        <w:jc w:val="left"/>
        <w:rPr>
          <w:rFonts w:ascii="宋体" w:eastAsia="宋体" w:hAnsi="宋体" w:cs="宋体"/>
          <w:kern w:val="0"/>
          <w:sz w:val="24"/>
          <w:szCs w:val="24"/>
        </w:rPr>
      </w:pPr>
      <w:r w:rsidRPr="006A199D">
        <w:rPr>
          <w:rFonts w:ascii="Arial" w:eastAsia="宋体" w:hAnsi="Arial" w:cs="Arial"/>
          <w:color w:val="000000"/>
          <w:kern w:val="0"/>
          <w:szCs w:val="21"/>
        </w:rPr>
        <w:lastRenderedPageBreak/>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b/>
          <w:bCs/>
          <w:color w:val="48D1CC"/>
          <w:kern w:val="0"/>
          <w:sz w:val="24"/>
          <w:szCs w:val="24"/>
        </w:rPr>
        <w:t>三、承接上市主体中目前不宜上市或者目前尚不成熟的业务，待时机成熟后单独上市（国内或者国外、</w:t>
      </w:r>
      <w:r w:rsidRPr="006A199D">
        <w:rPr>
          <w:rFonts w:ascii="Tahoma" w:eastAsia="宋体" w:hAnsi="Tahoma" w:cs="Tahoma"/>
          <w:b/>
          <w:bCs/>
          <w:color w:val="48D1CC"/>
          <w:kern w:val="0"/>
          <w:sz w:val="24"/>
          <w:szCs w:val="24"/>
        </w:rPr>
        <w:t>A</w:t>
      </w:r>
      <w:r w:rsidRPr="006A199D">
        <w:rPr>
          <w:rFonts w:ascii="Tahoma" w:eastAsia="宋体" w:hAnsi="Tahoma" w:cs="Tahoma"/>
          <w:b/>
          <w:bCs/>
          <w:color w:val="48D1CC"/>
          <w:kern w:val="0"/>
          <w:sz w:val="24"/>
          <w:szCs w:val="24"/>
        </w:rPr>
        <w:t>股或者新三板）或者以定向增发方式注入上市公司。</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案例</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Pr>
          <w:rFonts w:ascii="Tahoma" w:eastAsia="宋体" w:hAnsi="Tahoma" w:cs="Tahoma"/>
          <w:noProof/>
          <w:color w:val="000000"/>
          <w:kern w:val="0"/>
          <w:sz w:val="24"/>
          <w:szCs w:val="24"/>
        </w:rPr>
        <w:drawing>
          <wp:inline distT="0" distB="0" distL="0" distR="0">
            <wp:extent cx="5124450" cy="5029200"/>
            <wp:effectExtent l="19050" t="0" r="0" b="0"/>
            <wp:docPr id="5" name="aimg_dqKL9" descr="http://mmbiz.qpic.cn/mmbiz/xjnZUuqglYEydIJwy3uYibsiaAKlVVJvHzO3bfhRVor75iaYP8lRCgZaibWwZqqbdqncSjVSICZPYfOGW9CpxtYDTg/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dqKL9" descr="http://mmbiz.qpic.cn/mmbiz/xjnZUuqglYEydIJwy3uYibsiaAKlVVJvHzO3bfhRVor75iaYP8lRCgZaibWwZqqbdqncSjVSICZPYfOGW9CpxtYDTg/640"/>
                    <pic:cNvPicPr>
                      <a:picLocks noChangeAspect="1" noChangeArrowheads="1"/>
                    </pic:cNvPicPr>
                  </pic:nvPicPr>
                  <pic:blipFill>
                    <a:blip r:embed="rId10"/>
                    <a:srcRect/>
                    <a:stretch>
                      <a:fillRect/>
                    </a:stretch>
                  </pic:blipFill>
                  <pic:spPr bwMode="auto">
                    <a:xfrm>
                      <a:off x="0" y="0"/>
                      <a:ext cx="5124450" cy="5029200"/>
                    </a:xfrm>
                    <a:prstGeom prst="rect">
                      <a:avLst/>
                    </a:prstGeom>
                    <a:noFill/>
                    <a:ln w="9525">
                      <a:noFill/>
                      <a:miter lim="800000"/>
                      <a:headEnd/>
                      <a:tailEnd/>
                    </a:ln>
                  </pic:spPr>
                </pic:pic>
              </a:graphicData>
            </a:graphic>
          </wp:inline>
        </w:drawing>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万达电影院线股份有限公司将在</w:t>
      </w:r>
      <w:r w:rsidRPr="006A199D">
        <w:rPr>
          <w:rFonts w:ascii="Tahoma" w:eastAsia="宋体" w:hAnsi="Tahoma" w:cs="Tahoma"/>
          <w:color w:val="000000"/>
          <w:kern w:val="0"/>
          <w:sz w:val="24"/>
          <w:szCs w:val="24"/>
        </w:rPr>
        <w:t>A</w:t>
      </w:r>
      <w:r w:rsidRPr="006A199D">
        <w:rPr>
          <w:rFonts w:ascii="Tahoma" w:eastAsia="宋体" w:hAnsi="Tahoma" w:cs="Tahoma"/>
          <w:color w:val="000000"/>
          <w:kern w:val="0"/>
          <w:sz w:val="24"/>
          <w:szCs w:val="24"/>
        </w:rPr>
        <w:t>股上市（已经通过发审会）；大连万达商业地产股份有限公司将在港股</w:t>
      </w:r>
      <w:r w:rsidRPr="006A199D">
        <w:rPr>
          <w:rFonts w:ascii="Tahoma" w:eastAsia="宋体" w:hAnsi="Tahoma" w:cs="Tahoma"/>
          <w:color w:val="000000"/>
          <w:kern w:val="0"/>
          <w:sz w:val="24"/>
          <w:szCs w:val="24"/>
        </w:rPr>
        <w:t>IPO</w:t>
      </w:r>
      <w:r w:rsidRPr="006A199D">
        <w:rPr>
          <w:rFonts w:ascii="Tahoma" w:eastAsia="宋体" w:hAnsi="Tahoma" w:cs="Tahoma"/>
          <w:color w:val="000000"/>
          <w:kern w:val="0"/>
          <w:sz w:val="24"/>
          <w:szCs w:val="24"/>
        </w:rPr>
        <w:t>。可以预见的是，上市成功后，关于电影发行等文化娱乐类资产将会单独上市或者注入万达电影院线，地产类资产应该将逐步注入万达商业地产。</w:t>
      </w:r>
    </w:p>
    <w:p w:rsidR="006A199D" w:rsidRPr="006A199D" w:rsidRDefault="006A199D" w:rsidP="006A199D">
      <w:pPr>
        <w:widowControl/>
        <w:jc w:val="left"/>
        <w:rPr>
          <w:rFonts w:ascii="宋体" w:eastAsia="宋体" w:hAnsi="宋体" w:cs="宋体"/>
          <w:kern w:val="0"/>
          <w:sz w:val="24"/>
          <w:szCs w:val="24"/>
        </w:rPr>
      </w:pPr>
      <w:r w:rsidRPr="006A199D">
        <w:rPr>
          <w:rFonts w:ascii="Arial" w:eastAsia="宋体" w:hAnsi="Arial" w:cs="Arial"/>
          <w:color w:val="000000"/>
          <w:kern w:val="0"/>
          <w:szCs w:val="21"/>
        </w:rPr>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案例</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曾经折戟于财务专项核查的广汇汽车，目前准备在港股</w:t>
      </w:r>
      <w:r w:rsidRPr="006A199D">
        <w:rPr>
          <w:rFonts w:ascii="Tahoma" w:eastAsia="宋体" w:hAnsi="Tahoma" w:cs="Tahoma"/>
          <w:color w:val="000000"/>
          <w:kern w:val="0"/>
          <w:sz w:val="24"/>
          <w:szCs w:val="24"/>
        </w:rPr>
        <w:t>IPO</w:t>
      </w:r>
      <w:r w:rsidRPr="006A199D">
        <w:rPr>
          <w:rFonts w:ascii="Tahoma" w:eastAsia="宋体" w:hAnsi="Tahoma" w:cs="Tahoma"/>
          <w:color w:val="000000"/>
          <w:kern w:val="0"/>
          <w:sz w:val="24"/>
          <w:szCs w:val="24"/>
        </w:rPr>
        <w:t>，与广汇能源（</w:t>
      </w:r>
      <w:r w:rsidRPr="006A199D">
        <w:rPr>
          <w:rFonts w:ascii="Tahoma" w:eastAsia="宋体" w:hAnsi="Tahoma" w:cs="Tahoma"/>
          <w:color w:val="000000"/>
          <w:kern w:val="0"/>
          <w:sz w:val="24"/>
          <w:szCs w:val="24"/>
        </w:rPr>
        <w:t>600256</w:t>
      </w:r>
      <w:r w:rsidRPr="006A199D">
        <w:rPr>
          <w:rFonts w:ascii="Tahoma" w:eastAsia="宋体" w:hAnsi="Tahoma" w:cs="Tahoma"/>
          <w:color w:val="000000"/>
          <w:kern w:val="0"/>
          <w:sz w:val="24"/>
          <w:szCs w:val="24"/>
        </w:rPr>
        <w:t>）同隶属于广汇集团。</w:t>
      </w:r>
    </w:p>
    <w:p w:rsidR="006A199D" w:rsidRPr="006A199D" w:rsidRDefault="006A199D" w:rsidP="006A199D">
      <w:pPr>
        <w:widowControl/>
        <w:jc w:val="left"/>
        <w:rPr>
          <w:rFonts w:ascii="宋体" w:eastAsia="宋体" w:hAnsi="宋体" w:cs="宋体"/>
          <w:kern w:val="0"/>
          <w:sz w:val="24"/>
          <w:szCs w:val="24"/>
        </w:rPr>
      </w:pPr>
      <w:r w:rsidRPr="006A199D">
        <w:rPr>
          <w:rFonts w:ascii="Arial" w:eastAsia="宋体" w:hAnsi="Arial" w:cs="Arial"/>
          <w:color w:val="000000"/>
          <w:kern w:val="0"/>
          <w:szCs w:val="21"/>
        </w:rPr>
        <w:lastRenderedPageBreak/>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案例</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物美控股（原北京物美投资集团有限公司）旗下具有两大上市平台，即香港上市的物美商业（</w:t>
      </w:r>
      <w:r w:rsidRPr="006A199D">
        <w:rPr>
          <w:rFonts w:ascii="Tahoma" w:eastAsia="宋体" w:hAnsi="Tahoma" w:cs="Tahoma"/>
          <w:color w:val="000000"/>
          <w:kern w:val="0"/>
          <w:sz w:val="24"/>
          <w:szCs w:val="24"/>
        </w:rPr>
        <w:t>01025</w:t>
      </w:r>
      <w:r w:rsidRPr="006A199D">
        <w:rPr>
          <w:rFonts w:ascii="Tahoma" w:eastAsia="宋体" w:hAnsi="Tahoma" w:cs="Tahoma"/>
          <w:color w:val="000000"/>
          <w:kern w:val="0"/>
          <w:sz w:val="24"/>
          <w:szCs w:val="24"/>
        </w:rPr>
        <w:t>）及国内</w:t>
      </w:r>
      <w:r w:rsidRPr="006A199D">
        <w:rPr>
          <w:rFonts w:ascii="Tahoma" w:eastAsia="宋体" w:hAnsi="Tahoma" w:cs="Tahoma"/>
          <w:color w:val="000000"/>
          <w:kern w:val="0"/>
          <w:sz w:val="24"/>
          <w:szCs w:val="24"/>
        </w:rPr>
        <w:t>A</w:t>
      </w:r>
      <w:r w:rsidRPr="006A199D">
        <w:rPr>
          <w:rFonts w:ascii="Tahoma" w:eastAsia="宋体" w:hAnsi="Tahoma" w:cs="Tahoma"/>
          <w:color w:val="000000"/>
          <w:kern w:val="0"/>
          <w:sz w:val="24"/>
          <w:szCs w:val="24"/>
        </w:rPr>
        <w:t>股上市的新华百货（</w:t>
      </w:r>
      <w:r w:rsidRPr="006A199D">
        <w:rPr>
          <w:rFonts w:ascii="Tahoma" w:eastAsia="宋体" w:hAnsi="Tahoma" w:cs="Tahoma"/>
          <w:color w:val="000000"/>
          <w:kern w:val="0"/>
          <w:sz w:val="24"/>
          <w:szCs w:val="24"/>
        </w:rPr>
        <w:t>600758</w:t>
      </w:r>
      <w:r w:rsidRPr="006A199D">
        <w:rPr>
          <w:rFonts w:ascii="Tahoma" w:eastAsia="宋体" w:hAnsi="Tahoma" w:cs="Tahoma"/>
          <w:color w:val="000000"/>
          <w:kern w:val="0"/>
          <w:sz w:val="24"/>
          <w:szCs w:val="24"/>
        </w:rPr>
        <w:t>）。</w:t>
      </w:r>
      <w:r w:rsidRPr="006A199D">
        <w:rPr>
          <w:rFonts w:ascii="Tahoma" w:eastAsia="宋体" w:hAnsi="Tahoma" w:cs="Tahoma"/>
          <w:color w:val="000000"/>
          <w:kern w:val="0"/>
          <w:sz w:val="24"/>
          <w:szCs w:val="24"/>
        </w:rPr>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b/>
          <w:bCs/>
          <w:color w:val="48D1CC"/>
          <w:kern w:val="0"/>
          <w:sz w:val="24"/>
          <w:szCs w:val="24"/>
        </w:rPr>
        <w:t>四、调整控股公司股权比较方便，便于对拟上市公司股权进行管理。</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由于股份公司发起人在一年内不准转让。若将可能进行调整的投资者（比如说需要进行业绩考核的管理层，需要针对其带来资源效果对其股权进行调整的投资者）纳入控股公司而不是股份公司，可以在控股公司层面对其股份进行调整，从而间接达到调整股权结构的目的。这种方式在上市前和上市后均可以实现。</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最典型就是股权激励，对管理层的股份进行调整，在拟上市公司层面进行调整时，既需要考虑被调整对象是否同意，还要考虑调整的价格，且控股股东没有优先购买权。若是放在控股公司那么受到的约束就相对会少一些。</w:t>
      </w:r>
    </w:p>
    <w:p w:rsidR="006A199D" w:rsidRPr="006A199D" w:rsidRDefault="006A199D" w:rsidP="006A199D">
      <w:pPr>
        <w:widowControl/>
        <w:jc w:val="left"/>
        <w:rPr>
          <w:rFonts w:ascii="宋体" w:eastAsia="宋体" w:hAnsi="宋体" w:cs="宋体"/>
          <w:kern w:val="0"/>
          <w:sz w:val="24"/>
          <w:szCs w:val="24"/>
        </w:rPr>
      </w:pPr>
      <w:r w:rsidRPr="006A199D">
        <w:rPr>
          <w:rFonts w:ascii="Arial" w:eastAsia="宋体" w:hAnsi="Arial" w:cs="Arial"/>
          <w:color w:val="000000"/>
          <w:kern w:val="0"/>
          <w:szCs w:val="21"/>
        </w:rPr>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b/>
          <w:bCs/>
          <w:color w:val="48D1CC"/>
          <w:kern w:val="0"/>
          <w:sz w:val="24"/>
          <w:szCs w:val="24"/>
        </w:rPr>
        <w:t>五、对上市公司（或者拟上市公司）的债务融资提供抵押、担保，降低融资成本。</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由于控股公司可以合并上市公司报表及其他产业的报表，很多控股上市均开展了房地产业务，其资金实力一般强于上市公司，受到银行认可的程度较高。公司在上市公司银行借款、发行债券等过程中，提供相应的担保，提高上市公司债项的信用等级，降低融资成本。</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随时准备承接上市公司的非优质资产，为上市公司的未来发展协调资源</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控股公司可以承接上市公司在未来经营过程中形成的一些盈利能力不强的项目，保证上市公司资产的优质性。同时可以为股份公司的现在和未来发展协调各种战略资源，安排不宜在上市公司层面安排的利益。</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案例可见湘鄂情。</w:t>
      </w:r>
    </w:p>
    <w:p w:rsidR="006A199D" w:rsidRPr="006A199D" w:rsidRDefault="006A199D" w:rsidP="006A199D">
      <w:pPr>
        <w:widowControl/>
        <w:jc w:val="left"/>
        <w:rPr>
          <w:rFonts w:ascii="宋体" w:eastAsia="宋体" w:hAnsi="宋体" w:cs="宋体"/>
          <w:kern w:val="0"/>
          <w:sz w:val="24"/>
          <w:szCs w:val="24"/>
        </w:rPr>
      </w:pPr>
      <w:r w:rsidRPr="006A199D">
        <w:rPr>
          <w:rFonts w:ascii="Arial" w:eastAsia="宋体" w:hAnsi="Arial" w:cs="Arial"/>
          <w:color w:val="000000"/>
          <w:kern w:val="0"/>
          <w:szCs w:val="21"/>
        </w:rPr>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b/>
          <w:bCs/>
          <w:color w:val="48D1CC"/>
          <w:kern w:val="0"/>
          <w:sz w:val="24"/>
          <w:szCs w:val="24"/>
        </w:rPr>
        <w:t>六、控股公司可以在达到一定资产规模之后，以发行企业债、发行中期票据获得资金开展一些不宜在上市公司内部开展的业务（比如房地产）。或者通过股权质押、出售股票、吸引外部投资者增资的方式对实际控制人想重点发展的产业进行培育。</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例如：</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lastRenderedPageBreak/>
        <w:t>目前不宜上市的房地产，目前处于亏损期的新兴产业均可在控股公司体内进行培育</w:t>
      </w:r>
      <w:r w:rsidRPr="006A199D">
        <w:rPr>
          <w:rFonts w:ascii="Tahoma" w:eastAsia="宋体" w:hAnsi="Tahoma" w:cs="Tahoma"/>
          <w:color w:val="000000"/>
          <w:kern w:val="0"/>
          <w:sz w:val="24"/>
          <w:szCs w:val="24"/>
        </w:rPr>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b/>
          <w:bCs/>
          <w:color w:val="48D1CC"/>
          <w:kern w:val="0"/>
          <w:sz w:val="24"/>
          <w:szCs w:val="24"/>
        </w:rPr>
        <w:t>七、市值管理。</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控股公司可以通过质押其他子公司的股权、吸引外部投资者等方式融资后，对上市公司进行市值管理。</w:t>
      </w:r>
    </w:p>
    <w:p w:rsidR="006A199D" w:rsidRPr="006A199D" w:rsidRDefault="006A199D" w:rsidP="006A199D">
      <w:pPr>
        <w:widowControl/>
        <w:jc w:val="left"/>
        <w:rPr>
          <w:rFonts w:ascii="宋体" w:eastAsia="宋体" w:hAnsi="宋体" w:cs="宋体"/>
          <w:kern w:val="0"/>
          <w:sz w:val="24"/>
          <w:szCs w:val="24"/>
        </w:rPr>
      </w:pPr>
      <w:r w:rsidRPr="006A199D">
        <w:rPr>
          <w:rFonts w:ascii="Arial" w:eastAsia="宋体" w:hAnsi="Arial" w:cs="Arial"/>
          <w:color w:val="000000"/>
          <w:kern w:val="0"/>
          <w:szCs w:val="21"/>
        </w:rPr>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b/>
          <w:bCs/>
          <w:color w:val="48D1CC"/>
          <w:kern w:val="0"/>
          <w:sz w:val="24"/>
          <w:szCs w:val="24"/>
        </w:rPr>
        <w:t>八、单独上市。</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当然控股公司实力发展到一定程度也可以单独在港股上市。</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案例：</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北京控股（控股公司）与燕京啤酒（</w:t>
      </w:r>
      <w:r w:rsidRPr="006A199D">
        <w:rPr>
          <w:rFonts w:ascii="Tahoma" w:eastAsia="宋体" w:hAnsi="Tahoma" w:cs="Tahoma"/>
          <w:color w:val="000000"/>
          <w:kern w:val="0"/>
          <w:sz w:val="24"/>
          <w:szCs w:val="24"/>
        </w:rPr>
        <w:t>000729</w:t>
      </w:r>
      <w:r w:rsidRPr="006A199D">
        <w:rPr>
          <w:rFonts w:ascii="Tahoma" w:eastAsia="宋体" w:hAnsi="Tahoma" w:cs="Tahoma"/>
          <w:color w:val="000000"/>
          <w:kern w:val="0"/>
          <w:sz w:val="24"/>
          <w:szCs w:val="24"/>
        </w:rPr>
        <w:t>）、中国燃气（</w:t>
      </w:r>
      <w:r w:rsidRPr="006A199D">
        <w:rPr>
          <w:rFonts w:ascii="Tahoma" w:eastAsia="宋体" w:hAnsi="Tahoma" w:cs="Tahoma"/>
          <w:color w:val="000000"/>
          <w:kern w:val="0"/>
          <w:sz w:val="24"/>
          <w:szCs w:val="24"/>
        </w:rPr>
        <w:t>384</w:t>
      </w:r>
      <w:r w:rsidRPr="006A199D">
        <w:rPr>
          <w:rFonts w:ascii="Tahoma" w:eastAsia="宋体" w:hAnsi="Tahoma" w:cs="Tahoma"/>
          <w:color w:val="000000"/>
          <w:kern w:val="0"/>
          <w:sz w:val="24"/>
          <w:szCs w:val="24"/>
        </w:rPr>
        <w:t>）等</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Pr>
          <w:rFonts w:ascii="Tahoma" w:eastAsia="宋体" w:hAnsi="Tahoma" w:cs="Tahoma"/>
          <w:noProof/>
          <w:color w:val="000000"/>
          <w:kern w:val="0"/>
          <w:sz w:val="24"/>
          <w:szCs w:val="24"/>
        </w:rPr>
        <w:drawing>
          <wp:inline distT="0" distB="0" distL="0" distR="0">
            <wp:extent cx="5648325" cy="5124450"/>
            <wp:effectExtent l="19050" t="0" r="9525" b="0"/>
            <wp:docPr id="6" name="aimg_T3o3q" descr="http://mmbiz.qpic.cn/mmbiz/xjnZUuqglYEydIJwy3uYibsiaAKlVVJvHzrCv9ubZoMEGiajQHWWEsKI8frxicRZ6T1SaT2sagZ1zhuiayOpZrw39N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T3o3q" descr="http://mmbiz.qpic.cn/mmbiz/xjnZUuqglYEydIJwy3uYibsiaAKlVVJvHzrCv9ubZoMEGiajQHWWEsKI8frxicRZ6T1SaT2sagZ1zhuiayOpZrw39Nw/640"/>
                    <pic:cNvPicPr>
                      <a:picLocks noChangeAspect="1" noChangeArrowheads="1"/>
                    </pic:cNvPicPr>
                  </pic:nvPicPr>
                  <pic:blipFill>
                    <a:blip r:embed="rId11"/>
                    <a:srcRect/>
                    <a:stretch>
                      <a:fillRect/>
                    </a:stretch>
                  </pic:blipFill>
                  <pic:spPr bwMode="auto">
                    <a:xfrm>
                      <a:off x="0" y="0"/>
                      <a:ext cx="5648325" cy="5124450"/>
                    </a:xfrm>
                    <a:prstGeom prst="rect">
                      <a:avLst/>
                    </a:prstGeom>
                    <a:noFill/>
                    <a:ln w="9525">
                      <a:noFill/>
                      <a:miter lim="800000"/>
                      <a:headEnd/>
                      <a:tailEnd/>
                    </a:ln>
                  </pic:spPr>
                </pic:pic>
              </a:graphicData>
            </a:graphic>
          </wp:inline>
        </w:drawing>
      </w:r>
      <w:r w:rsidRPr="006A199D">
        <w:rPr>
          <w:rFonts w:ascii="Tahoma" w:eastAsia="宋体" w:hAnsi="Tahoma" w:cs="Tahoma"/>
          <w:color w:val="000000"/>
          <w:kern w:val="0"/>
          <w:sz w:val="24"/>
          <w:szCs w:val="24"/>
        </w:rPr>
        <w:br/>
      </w:r>
      <w:r w:rsidRPr="006A199D">
        <w:rPr>
          <w:rFonts w:ascii="Tahoma" w:eastAsia="宋体" w:hAnsi="Tahoma" w:cs="Tahoma"/>
          <w:color w:val="48D1CC"/>
          <w:kern w:val="0"/>
          <w:sz w:val="24"/>
          <w:szCs w:val="24"/>
        </w:rPr>
        <w:lastRenderedPageBreak/>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b/>
          <w:bCs/>
          <w:color w:val="48D1CC"/>
          <w:kern w:val="0"/>
          <w:sz w:val="24"/>
          <w:szCs w:val="24"/>
        </w:rPr>
        <w:t>九、控股公司下属子公司较多后，可以命名为集团，为上市公司宣传可能能提供一些帮助。</w:t>
      </w:r>
    </w:p>
    <w:p w:rsidR="006A199D" w:rsidRPr="006A199D" w:rsidRDefault="006A199D" w:rsidP="006A199D">
      <w:pPr>
        <w:widowControl/>
        <w:jc w:val="left"/>
        <w:rPr>
          <w:rFonts w:ascii="宋体" w:eastAsia="宋体" w:hAnsi="宋体" w:cs="宋体"/>
          <w:kern w:val="0"/>
          <w:sz w:val="24"/>
          <w:szCs w:val="24"/>
        </w:rPr>
      </w:pPr>
      <w:r w:rsidRPr="006A199D">
        <w:rPr>
          <w:rFonts w:ascii="Arial" w:eastAsia="宋体" w:hAnsi="Arial" w:cs="Arial"/>
          <w:color w:val="000000"/>
          <w:kern w:val="0"/>
          <w:szCs w:val="21"/>
        </w:rPr>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b/>
          <w:bCs/>
          <w:color w:val="48D1CC"/>
          <w:kern w:val="0"/>
          <w:sz w:val="24"/>
          <w:szCs w:val="24"/>
        </w:rPr>
        <w:t>十、有助于对上市公司人事进行安排，保持上市公司管理层的活力（补充）。</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在很多公司上市时，上市公司的管理层长期跟随实际控制人、控股股东，将公司做大做强并能够实现上市做出了巨大贡献。但是上市成功之后，这些管理层年龄也大了，可能觉得功成名就，大部分还有持有上市公司的股份，巨额财富也有了，推动公司大力发展的动力不足了，容易躺在功劳簿上睡大觉，占据着董事、监事、管理层的高层位置不下来。实际控制人也不好拉下脸来将他们赶走。而上市几年为了公司的发展做出了巨大的牺牲，且一直很有想法很有干劲的中层干部的晋升通道被堵死了。</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如果在上市公司上面设有控股公司，将冲劲不足、愿意躺在功劳簿上的老管理层升至控股公司担任相应的职务，腾出相应的职位空间给下面的中层干部，既照顾了老管理层的情绪，又保证了新的管理层的活力，同时保证了公司整体的晋升通道通畅。这在目前以人治为主的公司管理中非常重要。</w:t>
      </w:r>
    </w:p>
    <w:p w:rsidR="006A199D" w:rsidRPr="006A199D" w:rsidRDefault="006A199D" w:rsidP="006A199D">
      <w:pPr>
        <w:widowControl/>
        <w:jc w:val="left"/>
        <w:rPr>
          <w:rFonts w:ascii="宋体" w:eastAsia="宋体" w:hAnsi="宋体" w:cs="宋体"/>
          <w:kern w:val="0"/>
          <w:sz w:val="24"/>
          <w:szCs w:val="24"/>
        </w:rPr>
      </w:pPr>
      <w:r w:rsidRPr="006A199D">
        <w:rPr>
          <w:rFonts w:ascii="Arial" w:eastAsia="宋体" w:hAnsi="Arial" w:cs="Arial"/>
          <w:color w:val="000000"/>
          <w:kern w:val="0"/>
          <w:szCs w:val="21"/>
        </w:rPr>
        <w:br/>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b/>
          <w:bCs/>
          <w:color w:val="48D1CC"/>
          <w:kern w:val="0"/>
          <w:sz w:val="24"/>
          <w:szCs w:val="24"/>
        </w:rPr>
        <w:t>当然实际控制人全部通过控股公司对拟上市公司进行持股也不是完全没有缺点：</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第一，税负重了。不解释。</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第二，决策慢了，买卖不股票不那么自由，个人为了消费需要卖出少量的股票时，会觉得自由度降低。</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第三，分红、买卖股票的收益必须通过控股公司分红才能到实际控制人手中，时间长了。</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第四，设立控股公司就意味着需要增加一些管理人员，且其不能在上市公司中兼职，必须新聘任，成本增加了。</w:t>
      </w:r>
    </w:p>
    <w:p w:rsidR="006A199D" w:rsidRPr="006A199D" w:rsidRDefault="006A199D" w:rsidP="006A199D">
      <w:pPr>
        <w:widowControl/>
        <w:shd w:val="clear" w:color="auto" w:fill="FFFFFF"/>
        <w:spacing w:line="420" w:lineRule="atLeast"/>
        <w:jc w:val="left"/>
        <w:rPr>
          <w:rFonts w:ascii="Arial" w:eastAsia="宋体" w:hAnsi="Arial" w:cs="Arial"/>
          <w:color w:val="000000"/>
          <w:kern w:val="0"/>
          <w:szCs w:val="21"/>
        </w:rPr>
      </w:pPr>
      <w:r w:rsidRPr="006A199D">
        <w:rPr>
          <w:rFonts w:ascii="Tahoma" w:eastAsia="宋体" w:hAnsi="Tahoma" w:cs="Tahoma"/>
          <w:color w:val="000000"/>
          <w:kern w:val="0"/>
          <w:sz w:val="24"/>
          <w:szCs w:val="24"/>
        </w:rPr>
        <w:t>同时设立控股公司控股上市公司，还需要注意保证业务、资产、人员、财务、机构与上市公司之间需要具有独立性。同时控股公司中，与上市公司同业的资产应该全部注入上市公司避免同业竞争。</w:t>
      </w:r>
    </w:p>
    <w:p w:rsidR="00466E0A" w:rsidRPr="006A199D" w:rsidRDefault="00466E0A"/>
    <w:sectPr w:rsidR="00466E0A" w:rsidRPr="006A199D" w:rsidSect="00466E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FEB" w:rsidRDefault="00411FEB" w:rsidP="00C30818">
      <w:r>
        <w:separator/>
      </w:r>
    </w:p>
  </w:endnote>
  <w:endnote w:type="continuationSeparator" w:id="1">
    <w:p w:rsidR="00411FEB" w:rsidRDefault="00411FEB" w:rsidP="00C308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FEB" w:rsidRDefault="00411FEB" w:rsidP="00C30818">
      <w:r>
        <w:separator/>
      </w:r>
    </w:p>
  </w:footnote>
  <w:footnote w:type="continuationSeparator" w:id="1">
    <w:p w:rsidR="00411FEB" w:rsidRDefault="00411FEB" w:rsidP="00C308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199D"/>
    <w:rsid w:val="0018099F"/>
    <w:rsid w:val="002317D6"/>
    <w:rsid w:val="00340515"/>
    <w:rsid w:val="00411FEB"/>
    <w:rsid w:val="0045076F"/>
    <w:rsid w:val="00466E0A"/>
    <w:rsid w:val="004F79CA"/>
    <w:rsid w:val="006A199D"/>
    <w:rsid w:val="00917071"/>
    <w:rsid w:val="00C30818"/>
    <w:rsid w:val="00FC4A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E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A199D"/>
    <w:rPr>
      <w:b/>
      <w:bCs/>
    </w:rPr>
  </w:style>
  <w:style w:type="paragraph" w:styleId="a4">
    <w:name w:val="Normal (Web)"/>
    <w:basedOn w:val="a"/>
    <w:uiPriority w:val="99"/>
    <w:semiHidden/>
    <w:unhideWhenUsed/>
    <w:rsid w:val="006A199D"/>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6A199D"/>
    <w:rPr>
      <w:sz w:val="18"/>
      <w:szCs w:val="18"/>
    </w:rPr>
  </w:style>
  <w:style w:type="character" w:customStyle="1" w:styleId="Char">
    <w:name w:val="批注框文本 Char"/>
    <w:basedOn w:val="a0"/>
    <w:link w:val="a5"/>
    <w:uiPriority w:val="99"/>
    <w:semiHidden/>
    <w:rsid w:val="006A199D"/>
    <w:rPr>
      <w:sz w:val="18"/>
      <w:szCs w:val="18"/>
    </w:rPr>
  </w:style>
  <w:style w:type="paragraph" w:styleId="a6">
    <w:name w:val="header"/>
    <w:basedOn w:val="a"/>
    <w:link w:val="Char0"/>
    <w:uiPriority w:val="99"/>
    <w:semiHidden/>
    <w:unhideWhenUsed/>
    <w:rsid w:val="00C308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C30818"/>
    <w:rPr>
      <w:sz w:val="18"/>
      <w:szCs w:val="18"/>
    </w:rPr>
  </w:style>
  <w:style w:type="paragraph" w:styleId="a7">
    <w:name w:val="footer"/>
    <w:basedOn w:val="a"/>
    <w:link w:val="Char1"/>
    <w:uiPriority w:val="99"/>
    <w:semiHidden/>
    <w:unhideWhenUsed/>
    <w:rsid w:val="00C30818"/>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C30818"/>
    <w:rPr>
      <w:sz w:val="18"/>
      <w:szCs w:val="18"/>
    </w:rPr>
  </w:style>
</w:styles>
</file>

<file path=word/webSettings.xml><?xml version="1.0" encoding="utf-8"?>
<w:webSettings xmlns:r="http://schemas.openxmlformats.org/officeDocument/2006/relationships" xmlns:w="http://schemas.openxmlformats.org/wordprocessingml/2006/main">
  <w:divs>
    <w:div w:id="15146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2565</Characters>
  <Application>Microsoft Office Word</Application>
  <DocSecurity>0</DocSecurity>
  <Lines>21</Lines>
  <Paragraphs>6</Paragraphs>
  <ScaleCrop>false</ScaleCrop>
  <Company>Microsoft</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xuepa</dc:creator>
  <cp:lastModifiedBy>微软用户</cp:lastModifiedBy>
  <cp:revision>7</cp:revision>
  <dcterms:created xsi:type="dcterms:W3CDTF">2016-02-18T01:35:00Z</dcterms:created>
  <dcterms:modified xsi:type="dcterms:W3CDTF">2016-02-18T02:53:00Z</dcterms:modified>
</cp:coreProperties>
</file>