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00" w:lineRule="auto"/>
        <w:jc w:val="center"/>
        <w:rPr>
          <w:rFonts w:ascii="宋体"/>
          <w:b/>
          <w:sz w:val="30"/>
          <w:szCs w:val="30"/>
        </w:rPr>
      </w:pPr>
      <w:r>
        <w:rPr>
          <w:rFonts w:hint="eastAsia" w:ascii="宋体"/>
          <w:b/>
          <w:sz w:val="30"/>
          <w:szCs w:val="30"/>
        </w:rPr>
        <w:t xml:space="preserve"> </w:t>
      </w:r>
    </w:p>
    <w:p>
      <w:pPr>
        <w:adjustRightInd w:val="0"/>
        <w:snapToGrid w:val="0"/>
        <w:spacing w:before="156" w:beforeLines="50" w:after="156" w:afterLines="50" w:line="300" w:lineRule="auto"/>
        <w:jc w:val="center"/>
        <w:rPr>
          <w:rFonts w:ascii="宋体"/>
          <w:b/>
          <w:sz w:val="24"/>
          <w:szCs w:val="24"/>
        </w:rPr>
      </w:pPr>
      <w:r>
        <w:rPr>
          <w:rFonts w:ascii="宋体"/>
          <w:b/>
          <w:sz w:val="24"/>
          <w:szCs w:val="24"/>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137160</wp:posOffset>
                </wp:positionV>
                <wp:extent cx="6235065" cy="635"/>
                <wp:effectExtent l="0" t="0" r="0" b="0"/>
                <wp:wrapNone/>
                <wp:docPr id="1" name="直线箭头连接符 3"/>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直线箭头连接符 3" o:spid="_x0000_s1026" o:spt="32" type="#_x0000_t32" style="position:absolute;left:0pt;margin-left:-2.75pt;margin-top:10.8pt;height:0.05pt;width:490.95pt;z-index:251656192;mso-width-relative:page;mso-height-relative:page;" filled="f" stroked="t" coordsize="21600,21600" o:gfxdata="UEsDBAoAAAAAAIdO4kAAAAAAAAAAAAAAAAAEAAAAZHJzL1BLAwQUAAAACACHTuJAhaelJNUAAAAI&#10;AQAADwAAAGRycy9kb3ducmV2LnhtbE2PwW6DMBBE75X6D9ZW6i0xRAESionUSj1HJbnktuANoOI1&#10;wk6gf1/n1B5nZzTztjgsZhB3mlxvWUG8jkAQN1b33Co4nz5XOxDOI2scLJOCH3JwKJ+fCsy1nfmL&#10;7pVvRShhl6OCzvsxl9I1HRl0azsSB+9qJ4M+yKmVesI5lJtBbqIolQZ7DgsdjvTRUfNd3YyCbKsv&#10;FtP3pE7m48nTtat2x0Wp15c4egPhafF/YXjgB3QoA1Ntb6ydGBSskiQkFWziFETw91m6BVE/DhnI&#10;spD/Hyh/AVBLAwQUAAAACACHTuJAgLLA6uwBAACvAwAADgAAAGRycy9lMm9Eb2MueG1srVPNjtMw&#10;EL4j8Q6W7zRpqxYUNd1Dy3JBUAl4gKntJJb8J9s07UvwAkicgBNw2hOXfRooj8HYzXYXuCBEDs6M&#10;PfN5vm/Gi4u9VmQnfJDW1HQ8KikRhlkuTVvTVy8vHzyiJEQwHJQ1oqYHEejF8v69Re8qMbGdVVx4&#10;giAmVL2raRejq4oisE5oCCPrhMHDxnoNEV3fFtxDj+haFZOynBe99dx5y0QIuLs+HdJlxm8aweLz&#10;pgkiElVTrC3m1ed1m9ZiuYCq9eA6yYYy4B+q0CANXnqGWkME8trLP6C0ZN4G28QRs7qwTSOZyByQ&#10;zbj8jc2LDpzIXFCc4M4yhf8Hy57tNp5Ijr2jxIDGFh3fXh2/Xh+/fP72/urH9bvvbz4cP30k0yRV&#10;70KFGSuz8YMX3MYn3vvG6/RHRmSf5T2c5RX7SBhuzifTWTmfUcLwbD6dJcTiNtX5EJ8Iq0kyahqi&#10;B9l2cWWNwTZaP84Cw+5piKfEm4R0rzKkRw6ThyV2mQFOUqMgoqkdcgumzcnBKskvpVIpJfh2u1Ke&#10;7CDNRv6Gin4JS7esIXSnuHyUwqDqBPDHhpN4cKiawfGmqQYtOCVK4GtIVo6MINXfRKIYyiRokSd3&#10;IJpEP8mcrK3lh6x+kTyciqzhMMFp7O76aN99Z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ael&#10;JNUAAAAIAQAADwAAAAAAAAABACAAAAAiAAAAZHJzL2Rvd25yZXYueG1sUEsBAhQAFAAAAAgAh07i&#10;QICywOrsAQAArwMAAA4AAAAAAAAAAQAgAAAAJAEAAGRycy9lMm9Eb2MueG1sUEsFBgAAAAAGAAYA&#10;WQEAAIIFAAAAAA==&#10;">
                <v:fill on="f" focussize="0,0"/>
                <v:stroke weight="1pt" color="#000000" joinstyle="round"/>
                <v:imagedata o:title=""/>
                <o:lock v:ext="edit" aspectratio="f"/>
              </v:shape>
            </w:pict>
          </mc:Fallback>
        </mc:AlternateContent>
      </w: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30"/>
          <w:szCs w:val="30"/>
        </w:rPr>
      </w:pPr>
      <w:r>
        <w:rPr>
          <w:rFonts w:hint="eastAsia" w:ascii="宋体"/>
          <w:b/>
          <w:sz w:val="30"/>
          <w:szCs w:val="30"/>
        </w:rPr>
        <w:t>【】有限公司</w:t>
      </w:r>
    </w:p>
    <w:p>
      <w:pPr>
        <w:adjustRightInd w:val="0"/>
        <w:snapToGrid w:val="0"/>
        <w:spacing w:before="312" w:beforeLines="100" w:after="312" w:afterLines="100" w:line="360" w:lineRule="auto"/>
        <w:jc w:val="center"/>
        <w:rPr>
          <w:rFonts w:ascii="宋体"/>
          <w:b/>
          <w:sz w:val="30"/>
          <w:szCs w:val="30"/>
        </w:rPr>
      </w:pPr>
      <w:r>
        <w:rPr>
          <w:rFonts w:hint="eastAsia" w:ascii="宋体"/>
          <w:b/>
          <w:sz w:val="30"/>
          <w:szCs w:val="30"/>
        </w:rPr>
        <w:t>之</w:t>
      </w:r>
    </w:p>
    <w:p>
      <w:pPr>
        <w:adjustRightInd w:val="0"/>
        <w:snapToGrid w:val="0"/>
        <w:spacing w:before="312" w:beforeLines="100" w:after="312" w:afterLines="100" w:line="360" w:lineRule="auto"/>
        <w:jc w:val="center"/>
        <w:rPr>
          <w:rFonts w:ascii="宋体"/>
          <w:b/>
          <w:sz w:val="30"/>
          <w:szCs w:val="30"/>
        </w:rPr>
      </w:pPr>
      <w:r>
        <w:rPr>
          <w:rFonts w:hint="eastAsia" w:ascii="宋体"/>
          <w:b/>
          <w:sz w:val="30"/>
          <w:szCs w:val="30"/>
        </w:rPr>
        <w:t>股东协议</w:t>
      </w: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312" w:beforeLines="100" w:after="312" w:afterLines="100" w:line="360" w:lineRule="auto"/>
        <w:jc w:val="center"/>
        <w:rPr>
          <w:rFonts w:ascii="宋体"/>
          <w:b/>
          <w:sz w:val="28"/>
          <w:szCs w:val="28"/>
        </w:rPr>
      </w:pPr>
    </w:p>
    <w:p>
      <w:pPr>
        <w:adjustRightInd w:val="0"/>
        <w:snapToGrid w:val="0"/>
        <w:spacing w:before="156" w:beforeLines="50" w:after="156" w:afterLines="50" w:line="300" w:lineRule="auto"/>
        <w:jc w:val="center"/>
        <w:rPr>
          <w:rFonts w:ascii="宋体"/>
          <w:b/>
          <w:sz w:val="24"/>
          <w:szCs w:val="24"/>
        </w:rPr>
      </w:pPr>
      <w:r>
        <w:rPr>
          <w:rFonts w:ascii="宋体"/>
          <w:b/>
          <w:sz w:val="24"/>
          <w:szCs w:val="24"/>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134620</wp:posOffset>
                </wp:positionV>
                <wp:extent cx="6235065" cy="635"/>
                <wp:effectExtent l="0" t="0" r="0" b="0"/>
                <wp:wrapNone/>
                <wp:docPr id="2" name="直线箭头连接符 4"/>
                <wp:cNvGraphicFramePr/>
                <a:graphic xmlns:a="http://schemas.openxmlformats.org/drawingml/2006/main">
                  <a:graphicData uri="http://schemas.microsoft.com/office/word/2010/wordprocessingShape">
                    <wps:wsp>
                      <wps:cNvCnPr/>
                      <wps:spPr>
                        <a:xfrm>
                          <a:off x="0" y="0"/>
                          <a:ext cx="6235065"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直线箭头连接符 4" o:spid="_x0000_s1026" o:spt="32" type="#_x0000_t32" style="position:absolute;left:0pt;margin-left:-2.75pt;margin-top:10.6pt;height:0.05pt;width:490.95pt;z-index:251657216;mso-width-relative:page;mso-height-relative:page;" filled="f" stroked="t" coordsize="21600,21600" o:gfxdata="UEsDBAoAAAAAAIdO4kAAAAAAAAAAAAAAAAAEAAAAZHJzL1BLAwQUAAAACACHTuJA8PKd9dUAAAAI&#10;AQAADwAAAGRycy9kb3ducmV2LnhtbE2PwW6DMBBE75X6D9ZG6i0x0EBSionUSj1HJb30tuANoOA1&#10;wk6gf1/n1B5nZzTztjgsZhA3mlxvWUG8iUAQN1b33Cr4On2s9yCcR9Y4WCYFP+TgUD4+FJhrO/Mn&#10;3SrfilDCLkcFnfdjLqVrOjLoNnYkDt7ZTgZ9kFMr9YRzKDeDTKIokwZ7DgsdjvTeUXOprkbBbqu/&#10;LWZvaZ3Ox5Onc1ftj4tST6s4egXhafF/YbjjB3QoA1Ntr6ydGBSs0zQkFSRxAiL4L7tsC6K+H55B&#10;loX8/0D5C1BLAwQUAAAACACHTuJATzbKeO0BAACvAwAADgAAAGRycy9lMm9Eb2MueG1srVNLjhMx&#10;EN0jcQfLe9KdDAmjVjqzSBg2CCLBHKBiu7st+SfbpJNLcAEkVsAKZjUrNnMaCMeg7DRhgA1C9MJd&#10;5fq43vPz/GKnFdkKH6Q1NR2PSkqEYZZL09b06uXlg3NKQgTDQVkjaroXgV4s7t+b964SE9tZxYUn&#10;2MSEqnc17WJ0VVEE1gkNYWSdMBhsrNcQ0fVtwT302F2rYlKWs6K3njtvmQgBd1fHIF3k/k0jWHze&#10;NEFEomqKs8W8+rxu0los5lC1Hlwn2TAG/MMUGqTBQ0+tVhCBvPLyj1ZaMm+DbeKIWV3YppFMZAyI&#10;Zlz+huZFB05kLEhOcCeawv9ry55t155IXtMJJQY0XtHhzc3h8+3h+tOXdzffbt9+ff3+8PEDeZio&#10;6l2osGJp1n7wglv7hHvXeJ3+iIjsMr37E71iFwnDzdnkbFrOppQwjM3Opqlj8bPU+RCfCKtJMmoa&#10;ogfZdnFpjcFrtH6cCYbt0xCPhT8K0rnKkB71N3lU4i0zQCU1CiKa2iG2YNpcHKyS/FIqlUqCbzdL&#10;5ckWkjbyN0z0S1o6ZQWhO+blUEqDqhPAHxtO4t4hawblTdMMWnBKlMDXkKycGUGqv8lEMpRJrUVW&#10;7gA0kX6kOVkby/eZ/SJ5qIrM4aDgJLu7Ptp339n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Dy&#10;nfXVAAAACAEAAA8AAAAAAAAAAQAgAAAAIgAAAGRycy9kb3ducmV2LnhtbFBLAQIUABQAAAAIAIdO&#10;4kBPNsp47QEAAK8DAAAOAAAAAAAAAAEAIAAAACQBAABkcnMvZTJvRG9jLnhtbFBLBQYAAAAABgAG&#10;AFkBAACDBQAAAAA=&#10;">
                <v:fill on="f" focussize="0,0"/>
                <v:stroke weight="1pt" color="#000000" joinstyle="round"/>
                <v:imagedata o:title=""/>
                <o:lock v:ext="edit" aspectratio="f"/>
              </v:shape>
            </w:pict>
          </mc:Fallback>
        </mc:AlternateContent>
      </w:r>
    </w:p>
    <w:p>
      <w:pPr>
        <w:adjustRightInd w:val="0"/>
        <w:snapToGrid w:val="0"/>
        <w:spacing w:before="156" w:beforeLines="50" w:after="156" w:afterLines="50" w:line="300" w:lineRule="auto"/>
        <w:jc w:val="center"/>
        <w:rPr>
          <w:rFonts w:ascii="宋体"/>
          <w:b/>
          <w:sz w:val="24"/>
          <w:szCs w:val="24"/>
        </w:rPr>
      </w:pPr>
    </w:p>
    <w:p>
      <w:pPr>
        <w:adjustRightInd w:val="0"/>
        <w:snapToGrid w:val="0"/>
        <w:spacing w:before="156" w:beforeLines="50" w:after="156" w:afterLines="50" w:line="300" w:lineRule="auto"/>
        <w:jc w:val="center"/>
        <w:rPr>
          <w:rFonts w:ascii="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titlePg/>
          <w:docGrid w:type="lines" w:linePitch="312" w:charSpace="0"/>
        </w:sectPr>
      </w:pPr>
      <w:r>
        <w:rPr>
          <w:rFonts w:hint="eastAsia" w:ascii="宋体"/>
          <w:sz w:val="24"/>
          <w:szCs w:val="24"/>
        </w:rPr>
        <w:t>2016年【】月【】日</w:t>
      </w:r>
    </w:p>
    <w:p>
      <w:pPr>
        <w:widowControl/>
        <w:jc w:val="left"/>
        <w:rPr>
          <w:rFonts w:ascii="Times New Roman" w:hAnsi="Times New Roman" w:cs="Times New Roman"/>
          <w:kern w:val="0"/>
          <w:sz w:val="24"/>
          <w:szCs w:val="24"/>
        </w:rPr>
      </w:pPr>
    </w:p>
    <w:p>
      <w:pPr>
        <w:adjustRightInd w:val="0"/>
        <w:snapToGrid w:val="0"/>
        <w:spacing w:before="156" w:beforeLines="50" w:after="156" w:afterLines="50" w:line="300" w:lineRule="auto"/>
        <w:jc w:val="center"/>
        <w:rPr>
          <w:rFonts w:ascii="宋体"/>
          <w:b/>
          <w:sz w:val="32"/>
          <w:szCs w:val="32"/>
        </w:rPr>
      </w:pPr>
      <w:r>
        <w:rPr>
          <w:rFonts w:hint="eastAsia" w:ascii="宋体"/>
          <w:b/>
          <w:sz w:val="32"/>
          <w:szCs w:val="32"/>
        </w:rPr>
        <w:t>【】有限公司</w:t>
      </w:r>
    </w:p>
    <w:p>
      <w:pPr>
        <w:adjustRightInd w:val="0"/>
        <w:snapToGrid w:val="0"/>
        <w:spacing w:before="156" w:beforeLines="50" w:after="156" w:afterLines="50" w:line="300" w:lineRule="auto"/>
        <w:jc w:val="center"/>
        <w:rPr>
          <w:rFonts w:ascii="Times New Roman" w:hAnsi="Times New Roman" w:cs="Times New Roman"/>
          <w:b/>
          <w:sz w:val="32"/>
          <w:szCs w:val="32"/>
        </w:rPr>
      </w:pPr>
      <w:r>
        <w:rPr>
          <w:rFonts w:hint="eastAsia" w:ascii="Times New Roman" w:hAnsi="Times New Roman" w:cs="Times New Roman"/>
          <w:b/>
          <w:sz w:val="32"/>
          <w:szCs w:val="32"/>
        </w:rPr>
        <w:t>股东协议</w:t>
      </w:r>
    </w:p>
    <w:p>
      <w:pPr>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p>
    <w:p>
      <w:pPr>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r>
        <w:rPr>
          <w:rFonts w:ascii="Times New Roman" w:hAnsi="Times New Roman" w:cs="Times New Roman"/>
          <w:kern w:val="0"/>
          <w:sz w:val="24"/>
          <w:szCs w:val="24"/>
        </w:rPr>
        <w:t>本</w:t>
      </w:r>
      <w:r>
        <w:rPr>
          <w:rFonts w:hint="eastAsia" w:ascii="Times New Roman" w:hAnsi="Times New Roman" w:cs="Times New Roman"/>
          <w:kern w:val="0"/>
          <w:sz w:val="24"/>
          <w:szCs w:val="24"/>
        </w:rPr>
        <w:t>协议</w:t>
      </w:r>
      <w:r>
        <w:rPr>
          <w:rFonts w:ascii="Times New Roman" w:hAnsi="Times New Roman" w:cs="Times New Roman"/>
          <w:kern w:val="0"/>
          <w:sz w:val="24"/>
          <w:szCs w:val="24"/>
        </w:rPr>
        <w:t>由以下</w:t>
      </w:r>
      <w:r>
        <w:rPr>
          <w:rFonts w:hint="eastAsia" w:ascii="Times New Roman" w:hAnsi="Times New Roman" w:cs="Times New Roman"/>
          <w:kern w:val="0"/>
          <w:sz w:val="24"/>
          <w:szCs w:val="24"/>
        </w:rPr>
        <w:t>各方</w:t>
      </w:r>
      <w:r>
        <w:rPr>
          <w:rFonts w:ascii="Times New Roman" w:hAnsi="Times New Roman" w:cs="Times New Roman"/>
          <w:kern w:val="0"/>
          <w:sz w:val="24"/>
          <w:szCs w:val="24"/>
        </w:rPr>
        <w:t>于</w:t>
      </w:r>
      <w:r>
        <w:rPr>
          <w:rFonts w:hint="eastAsia" w:ascii="Times New Roman" w:hAnsi="Times New Roman" w:cs="Times New Roman"/>
          <w:kern w:val="0"/>
          <w:sz w:val="24"/>
          <w:szCs w:val="24"/>
        </w:rPr>
        <w:t>2016年【】月【】日在北京市签订：</w:t>
      </w:r>
    </w:p>
    <w:p>
      <w:pPr>
        <w:overflowPunct w:val="0"/>
        <w:autoSpaceDE w:val="0"/>
        <w:autoSpaceDN w:val="0"/>
        <w:adjustRightInd w:val="0"/>
        <w:snapToGrid w:val="0"/>
        <w:spacing w:before="156" w:beforeLines="50" w:after="156" w:afterLines="50"/>
        <w:textAlignment w:val="baseline"/>
        <w:rPr>
          <w:rFonts w:ascii="Times New Roman" w:hAnsi="Times New Roman" w:cs="Times New Roman"/>
          <w:b/>
          <w:kern w:val="0"/>
          <w:sz w:val="24"/>
          <w:szCs w:val="24"/>
        </w:rPr>
      </w:pPr>
      <w:r>
        <w:rPr>
          <w:rFonts w:hint="eastAsia" w:ascii="Times New Roman" w:hAnsi="Times New Roman" w:cs="Times New Roman"/>
          <w:b/>
          <w:kern w:val="0"/>
          <w:sz w:val="24"/>
          <w:szCs w:val="24"/>
        </w:rPr>
        <w:t>甲方：</w:t>
      </w:r>
    </w:p>
    <w:p>
      <w:pPr>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身份证号码：</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住所：</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联系方式：</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p>
    <w:p>
      <w:pPr>
        <w:rPr>
          <w:rFonts w:ascii="仿宋" w:hAnsi="仿宋" w:eastAsia="仿宋"/>
          <w:b/>
          <w:sz w:val="24"/>
          <w:szCs w:val="24"/>
        </w:rPr>
      </w:pPr>
      <w:r>
        <w:rPr>
          <w:rFonts w:hint="eastAsia" w:ascii="Times New Roman" w:hAnsi="Times New Roman" w:cs="Times New Roman"/>
          <w:b/>
          <w:kern w:val="0"/>
          <w:sz w:val="24"/>
          <w:szCs w:val="24"/>
        </w:rPr>
        <w:t>乙方：</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身份证号码：</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hint="eastAsia" w:ascii="Times New Roman" w:hAnsi="Times New Roman" w:cs="Times New Roman"/>
          <w:kern w:val="0"/>
          <w:sz w:val="24"/>
          <w:szCs w:val="24"/>
        </w:rPr>
        <w:t>：</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hint="eastAsia" w:ascii="Times New Roman" w:hAnsi="Times New Roman" w:cs="Times New Roman"/>
          <w:kern w:val="0"/>
          <w:sz w:val="24"/>
          <w:szCs w:val="24"/>
        </w:rPr>
        <w:t>：</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p>
    <w:p>
      <w:pPr>
        <w:rPr>
          <w:rFonts w:ascii="仿宋" w:hAnsi="仿宋" w:eastAsia="仿宋"/>
          <w:b/>
          <w:sz w:val="24"/>
          <w:szCs w:val="24"/>
        </w:rPr>
      </w:pPr>
      <w:r>
        <w:rPr>
          <w:rFonts w:hint="eastAsia" w:ascii="Times New Roman" w:hAnsi="Times New Roman" w:cs="Times New Roman"/>
          <w:b/>
          <w:kern w:val="0"/>
          <w:sz w:val="24"/>
          <w:szCs w:val="24"/>
        </w:rPr>
        <w:t>丙方：</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身份证号码：</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ascii="Times New Roman" w:hAnsi="Times New Roman" w:cs="Times New Roman"/>
          <w:kern w:val="0"/>
          <w:sz w:val="24"/>
          <w:szCs w:val="24"/>
        </w:rPr>
        <w:t>法定代表人</w:t>
      </w:r>
      <w:r>
        <w:rPr>
          <w:rFonts w:hint="eastAsia" w:ascii="Times New Roman" w:hAnsi="Times New Roman" w:cs="Times New Roman"/>
          <w:kern w:val="0"/>
          <w:sz w:val="24"/>
          <w:szCs w:val="24"/>
        </w:rPr>
        <w:t>：</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r>
        <w:rPr>
          <w:rFonts w:ascii="Times New Roman" w:hAnsi="Times New Roman" w:cs="Times New Roman"/>
          <w:kern w:val="0"/>
          <w:sz w:val="24"/>
          <w:szCs w:val="24"/>
        </w:rPr>
        <w:t>联系方式</w:t>
      </w:r>
      <w:r>
        <w:rPr>
          <w:rFonts w:hint="eastAsia" w:ascii="Times New Roman" w:hAnsi="Times New Roman" w:cs="Times New Roman"/>
          <w:kern w:val="0"/>
          <w:sz w:val="24"/>
          <w:szCs w:val="24"/>
        </w:rPr>
        <w:t>：</w:t>
      </w:r>
    </w:p>
    <w:p>
      <w:pPr>
        <w:tabs>
          <w:tab w:val="left" w:pos="0"/>
          <w:tab w:val="left" w:pos="709"/>
        </w:tabs>
        <w:overflowPunct w:val="0"/>
        <w:autoSpaceDE w:val="0"/>
        <w:autoSpaceDN w:val="0"/>
        <w:adjustRightInd w:val="0"/>
        <w:snapToGrid w:val="0"/>
        <w:spacing w:before="156" w:beforeLines="50" w:after="156" w:afterLines="50"/>
        <w:textAlignment w:val="baseline"/>
        <w:rPr>
          <w:rFonts w:ascii="Times New Roman" w:hAnsi="Times New Roman" w:cs="Times New Roman"/>
          <w:kern w:val="0"/>
          <w:sz w:val="24"/>
          <w:szCs w:val="24"/>
        </w:rPr>
      </w:pPr>
    </w:p>
    <w:p>
      <w:pPr>
        <w:tabs>
          <w:tab w:val="left" w:pos="0"/>
          <w:tab w:val="left" w:pos="709"/>
        </w:tabs>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甲方、乙方、丙方</w:t>
      </w:r>
      <w:r>
        <w:rPr>
          <w:rFonts w:ascii="Times New Roman" w:hAnsi="Times New Roman" w:cs="Times New Roman"/>
          <w:kern w:val="0"/>
          <w:sz w:val="24"/>
          <w:szCs w:val="24"/>
        </w:rPr>
        <w:t>合称</w:t>
      </w:r>
      <w:r>
        <w:rPr>
          <w:rFonts w:hint="eastAsia" w:ascii="Times New Roman" w:hAnsi="Times New Roman" w:cs="Times New Roman"/>
          <w:kern w:val="0"/>
          <w:sz w:val="24"/>
          <w:szCs w:val="24"/>
        </w:rPr>
        <w:t>“</w:t>
      </w:r>
      <w:r>
        <w:rPr>
          <w:rFonts w:hint="eastAsia" w:ascii="Times New Roman" w:hAnsi="Times New Roman" w:cs="Times New Roman"/>
          <w:b/>
          <w:kern w:val="0"/>
          <w:sz w:val="24"/>
          <w:szCs w:val="24"/>
        </w:rPr>
        <w:t>各</w:t>
      </w:r>
      <w:r>
        <w:rPr>
          <w:rFonts w:ascii="Times New Roman" w:hAnsi="Times New Roman" w:cs="Times New Roman"/>
          <w:b/>
          <w:kern w:val="0"/>
          <w:sz w:val="24"/>
          <w:szCs w:val="24"/>
        </w:rPr>
        <w:t>方</w:t>
      </w:r>
      <w:r>
        <w:rPr>
          <w:rFonts w:hint="eastAsia" w:ascii="Times New Roman" w:hAnsi="Times New Roman" w:cs="Times New Roman"/>
          <w:kern w:val="0"/>
          <w:sz w:val="24"/>
          <w:szCs w:val="24"/>
        </w:rPr>
        <w:t>”</w:t>
      </w:r>
      <w:r>
        <w:rPr>
          <w:rFonts w:ascii="Times New Roman" w:hAnsi="Times New Roman" w:cs="Times New Roman"/>
          <w:kern w:val="0"/>
          <w:sz w:val="24"/>
          <w:szCs w:val="24"/>
        </w:rPr>
        <w:t>。</w:t>
      </w:r>
    </w:p>
    <w:p>
      <w:pPr>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b/>
          <w:kern w:val="0"/>
          <w:sz w:val="24"/>
          <w:szCs w:val="24"/>
        </w:rPr>
      </w:pPr>
      <w:r>
        <w:rPr>
          <w:rFonts w:ascii="Times New Roman" w:hAnsi="Times New Roman" w:cs="Times New Roman"/>
          <w:b/>
          <w:kern w:val="0"/>
          <w:sz w:val="24"/>
          <w:szCs w:val="24"/>
        </w:rPr>
        <w:t>鉴于：</w:t>
      </w:r>
    </w:p>
    <w:p>
      <w:pPr>
        <w:numPr>
          <w:ilvl w:val="0"/>
          <w:numId w:val="1"/>
        </w:numPr>
        <w:overflowPunct w:val="0"/>
        <w:autoSpaceDE w:val="0"/>
        <w:autoSpaceDN w:val="0"/>
        <w:adjustRightInd w:val="0"/>
        <w:snapToGrid w:val="0"/>
        <w:spacing w:before="156" w:beforeLines="50" w:after="156" w:afterLines="50" w:line="300" w:lineRule="auto"/>
        <w:ind w:left="559" w:hanging="559" w:hangingChars="233"/>
        <w:textAlignment w:val="baseline"/>
        <w:rPr>
          <w:rFonts w:ascii="宋体"/>
          <w:sz w:val="24"/>
          <w:szCs w:val="24"/>
        </w:rPr>
      </w:pPr>
      <w:r>
        <w:rPr>
          <w:rFonts w:hint="eastAsia" w:ascii="宋体"/>
          <w:sz w:val="24"/>
          <w:szCs w:val="24"/>
        </w:rPr>
        <w:t>各方共同认同甲方、乙方、丙方为公司创业合伙人，各方之间理应具有同等的合伙人地位；</w:t>
      </w:r>
    </w:p>
    <w:p>
      <w:pPr>
        <w:numPr>
          <w:ilvl w:val="0"/>
          <w:numId w:val="1"/>
        </w:numPr>
        <w:overflowPunct w:val="0"/>
        <w:autoSpaceDE w:val="0"/>
        <w:autoSpaceDN w:val="0"/>
        <w:adjustRightInd w:val="0"/>
        <w:snapToGrid w:val="0"/>
        <w:spacing w:before="156" w:beforeLines="50" w:after="156" w:afterLines="50" w:line="300" w:lineRule="auto"/>
        <w:ind w:left="559" w:hanging="559" w:hangingChars="233"/>
        <w:textAlignment w:val="baseline"/>
        <w:rPr>
          <w:rFonts w:ascii="宋体"/>
          <w:sz w:val="24"/>
          <w:szCs w:val="24"/>
        </w:rPr>
      </w:pPr>
      <w:r>
        <w:rPr>
          <w:rFonts w:hint="eastAsia" w:ascii="宋体"/>
          <w:sz w:val="24"/>
          <w:szCs w:val="24"/>
        </w:rPr>
        <w:t>为设立公司，并让各方分享公司的成长收益，各方拟按照本协议的约定分配公司股权。各方持有的公司股权比例将会随公司未来增资或减资行为做相应调整，</w:t>
      </w:r>
    </w:p>
    <w:p>
      <w:pPr>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r>
        <w:rPr>
          <w:rFonts w:hint="eastAsia" w:ascii="Times New Roman" w:hAnsi="Times New Roman" w:cs="Times New Roman"/>
          <w:b/>
          <w:bCs/>
          <w:kern w:val="0"/>
          <w:sz w:val="24"/>
          <w:szCs w:val="24"/>
        </w:rPr>
        <w:t>因此</w:t>
      </w:r>
      <w:r>
        <w:rPr>
          <w:rFonts w:hint="eastAsia" w:ascii="Times New Roman" w:hAnsi="Times New Roman" w:cs="Times New Roman"/>
          <w:kern w:val="0"/>
          <w:sz w:val="24"/>
          <w:szCs w:val="24"/>
        </w:rPr>
        <w:t>，各方友好协商确定协议条款如下：</w:t>
      </w:r>
    </w:p>
    <w:p>
      <w:pPr>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p>
    <w:p>
      <w:pPr>
        <w:pStyle w:val="2"/>
        <w:numPr>
          <w:ilvl w:val="0"/>
          <w:numId w:val="2"/>
        </w:numPr>
        <w:tabs>
          <w:tab w:val="left" w:pos="426"/>
        </w:tabs>
        <w:spacing w:before="156" w:beforeLines="50" w:after="156" w:afterLines="50" w:line="300" w:lineRule="auto"/>
        <w:jc w:val="center"/>
        <w:rPr>
          <w:rFonts w:ascii="Times New Roman" w:hAnsi="Times New Roman"/>
          <w:kern w:val="0"/>
          <w:sz w:val="24"/>
          <w:szCs w:val="24"/>
        </w:rPr>
      </w:pPr>
      <w:bookmarkStart w:id="0" w:name="_Toc409253478"/>
      <w:bookmarkStart w:id="1" w:name="_Toc427589045"/>
      <w:r>
        <w:rPr>
          <w:rFonts w:hint="eastAsia" w:ascii="Times New Roman" w:hAnsi="Times New Roman"/>
          <w:kern w:val="0"/>
          <w:sz w:val="24"/>
          <w:szCs w:val="24"/>
        </w:rPr>
        <w:t>股权分配与预留</w:t>
      </w:r>
      <w:bookmarkEnd w:id="0"/>
      <w:bookmarkEnd w:id="1"/>
    </w:p>
    <w:p>
      <w:pPr>
        <w:pStyle w:val="3"/>
        <w:numPr>
          <w:ilvl w:val="0"/>
          <w:numId w:val="3"/>
        </w:numPr>
        <w:spacing w:before="156" w:beforeLines="50" w:after="156" w:afterLines="50" w:line="300" w:lineRule="auto"/>
        <w:rPr>
          <w:rFonts w:ascii="宋体" w:eastAsia="宋体"/>
          <w:sz w:val="24"/>
          <w:szCs w:val="24"/>
        </w:rPr>
      </w:pPr>
      <w:bookmarkStart w:id="2" w:name="_Toc392677026"/>
      <w:bookmarkStart w:id="3" w:name="_Toc392868421"/>
      <w:bookmarkStart w:id="4" w:name="_Toc427589046"/>
      <w:bookmarkStart w:id="5" w:name="_Toc409253479"/>
      <w:r>
        <w:rPr>
          <w:rFonts w:hint="eastAsia" w:ascii="宋体" w:eastAsia="宋体"/>
          <w:sz w:val="24"/>
          <w:szCs w:val="24"/>
        </w:rPr>
        <w:t>股权结构</w:t>
      </w:r>
      <w:bookmarkEnd w:id="2"/>
      <w:bookmarkEnd w:id="3"/>
      <w:r>
        <w:rPr>
          <w:rFonts w:hint="eastAsia" w:ascii="宋体" w:eastAsia="宋体"/>
          <w:sz w:val="24"/>
          <w:szCs w:val="24"/>
        </w:rPr>
        <w:t>安排</w:t>
      </w:r>
      <w:bookmarkEnd w:id="4"/>
      <w:bookmarkEnd w:id="5"/>
    </w:p>
    <w:p>
      <w:pPr>
        <w:widowControl/>
        <w:tabs>
          <w:tab w:val="left" w:pos="1134"/>
        </w:tabs>
        <w:autoSpaceDE w:val="0"/>
        <w:autoSpaceDN w:val="0"/>
        <w:adjustRightInd w:val="0"/>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 经过协商，各方同意在公司注册后，各方的出资及占股比例等信息如下：</w:t>
      </w:r>
    </w:p>
    <w:p>
      <w:pPr>
        <w:widowControl/>
        <w:tabs>
          <w:tab w:val="left" w:pos="1134"/>
        </w:tabs>
        <w:autoSpaceDE w:val="0"/>
        <w:autoSpaceDN w:val="0"/>
        <w:adjustRightInd w:val="0"/>
        <w:spacing w:line="400" w:lineRule="exact"/>
        <w:ind w:firstLine="480" w:firstLineChars="200"/>
        <w:rPr>
          <w:rFonts w:ascii="Times New Roman" w:hAnsi="Times New Roman" w:cs="Times New Roman"/>
          <w:sz w:val="24"/>
          <w:szCs w:val="24"/>
        </w:rPr>
      </w:pPr>
    </w:p>
    <w:tbl>
      <w:tblPr>
        <w:tblStyle w:val="12"/>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51"/>
        <w:gridCol w:w="1136"/>
        <w:gridCol w:w="1134"/>
        <w:gridCol w:w="709"/>
        <w:gridCol w:w="1134"/>
        <w:gridCol w:w="212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姓名</w:t>
            </w:r>
          </w:p>
        </w:tc>
        <w:tc>
          <w:tcPr>
            <w:tcW w:w="1136"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认缴出资额（万元）</w:t>
            </w:r>
          </w:p>
        </w:tc>
        <w:tc>
          <w:tcPr>
            <w:tcW w:w="1134"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实缴出资额（万元）</w:t>
            </w:r>
          </w:p>
        </w:tc>
        <w:tc>
          <w:tcPr>
            <w:tcW w:w="709"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持股比例（%）</w:t>
            </w:r>
          </w:p>
        </w:tc>
        <w:tc>
          <w:tcPr>
            <w:tcW w:w="1134"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出资形式</w:t>
            </w:r>
          </w:p>
        </w:tc>
        <w:tc>
          <w:tcPr>
            <w:tcW w:w="2126"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出资时间</w:t>
            </w:r>
          </w:p>
        </w:tc>
        <w:tc>
          <w:tcPr>
            <w:tcW w:w="1727"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持有方式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甲方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2016年【】月【】日</w:t>
            </w: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甲方自行持有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乙方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2016年【】月【】日</w:t>
            </w: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乙方自行持有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丙方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2016年【】月【】日</w:t>
            </w: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丙方自行持有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合计</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100</w:t>
            </w: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r>
    </w:tbl>
    <w:p>
      <w:pPr>
        <w:pStyle w:val="14"/>
        <w:tabs>
          <w:tab w:val="left" w:pos="1134"/>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p>
    <w:p>
      <w:pPr>
        <w:pStyle w:val="14"/>
        <w:numPr>
          <w:ilvl w:val="0"/>
          <w:numId w:val="4"/>
        </w:numPr>
        <w:tabs>
          <w:tab w:val="left" w:pos="1134"/>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对于上述工商登记信息，本协议各方确认的内部约定如下：</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2.1 关于股权比例确定的依据：</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2.1.1 是否综合考虑了实际控制人、资金、技术等问题。</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2.2 关于各方实际出资金额之安排：</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2.2.1 是否考虑了非货币出资、资本公积金等问题。</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2.2.2 资金筹措说明：</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2.3 实际控制人的确定：</w:t>
      </w:r>
    </w:p>
    <w:p>
      <w:pPr>
        <w:pStyle w:val="14"/>
        <w:tabs>
          <w:tab w:val="left" w:pos="1276"/>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2.4 实际控制的确保手段：</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kern w:val="0"/>
          <w:sz w:val="24"/>
          <w:szCs w:val="24"/>
        </w:rPr>
      </w:pPr>
      <w:r>
        <w:rPr>
          <w:rFonts w:hint="eastAsia" w:ascii="宋体" w:hAnsi="宋体" w:cs="宋体"/>
          <w:sz w:val="24"/>
          <w:szCs w:val="24"/>
        </w:rPr>
        <w:t>2.5 关于预设期权池的说明</w:t>
      </w:r>
      <w:r>
        <w:rPr>
          <w:rFonts w:hint="eastAsia" w:ascii="宋体" w:hAnsi="宋体"/>
          <w:kern w:val="0"/>
          <w:sz w:val="24"/>
          <w:szCs w:val="24"/>
        </w:rPr>
        <w:t>：</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宋体" w:hAnsi="宋体"/>
          <w:kern w:val="0"/>
          <w:sz w:val="24"/>
          <w:szCs w:val="24"/>
        </w:rPr>
        <w:t>2.5.1 各方按本协议约定的出资比例提取出资组成“合伙人股权激励期权池”，该股权激励期权池拥有出资</w:t>
      </w:r>
      <w:r>
        <w:rPr>
          <w:rFonts w:hint="eastAsia" w:ascii="Times New Roman" w:hAnsi="Times New Roman" w:cs="Times New Roman"/>
          <w:sz w:val="24"/>
          <w:szCs w:val="24"/>
        </w:rPr>
        <w:t>额为【   】万元（占公司全部股权的【  】%），专项用于向待引进的合伙人分配股权。</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r>
        <w:rPr>
          <w:rFonts w:hint="eastAsia" w:ascii="Times New Roman" w:hAnsi="Times New Roman" w:cs="Times New Roman"/>
          <w:sz w:val="24"/>
          <w:szCs w:val="24"/>
        </w:rPr>
        <w:t xml:space="preserve">2.5.2 </w:t>
      </w:r>
      <w:r>
        <w:rPr>
          <w:rFonts w:hint="eastAsia" w:ascii="宋体" w:hAnsi="宋体"/>
          <w:kern w:val="0"/>
          <w:sz w:val="24"/>
          <w:szCs w:val="24"/>
        </w:rPr>
        <w:t>各方按本协议约定的出资比例提取出资组成“员工股权激励期权池”，该股权激励期权池拥有出资</w:t>
      </w:r>
      <w:r>
        <w:rPr>
          <w:rFonts w:hint="eastAsia" w:ascii="Times New Roman" w:hAnsi="Times New Roman" w:cs="Times New Roman"/>
          <w:sz w:val="24"/>
          <w:szCs w:val="24"/>
        </w:rPr>
        <w:t>额为【   】万元（占公司全部股权的【  】%），，专项用于向待激励的员工分配股权。</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r>
        <w:rPr>
          <w:rFonts w:hint="eastAsia" w:ascii="Times New Roman" w:hAnsi="Times New Roman" w:cs="Times New Roman"/>
          <w:sz w:val="24"/>
          <w:szCs w:val="24"/>
        </w:rPr>
        <w:t>2.5.3 各方同意签订期权池协议，约定各方</w:t>
      </w:r>
      <w:r>
        <w:rPr>
          <w:rFonts w:hint="eastAsia" w:ascii="宋体" w:hAnsi="宋体" w:cs="宋体"/>
          <w:sz w:val="24"/>
          <w:szCs w:val="24"/>
        </w:rPr>
        <w:t>配合设立期权池的义务。主要内容是甲方同意代持该两项期权池的股权，各方按照约定向甲方出让相应的出资额。甲方负责按照各方共同确认的期权实施方案配合实施。</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r>
        <w:rPr>
          <w:rFonts w:hint="eastAsia" w:ascii="宋体" w:hAnsi="宋体" w:cs="宋体"/>
          <w:sz w:val="24"/>
          <w:szCs w:val="24"/>
        </w:rPr>
        <w:t>2.5.4 对于甲方代持的期权池股权，在相应股权未分配之前，由各贡献方按照各自贡献出资比例享有分红收益，并由甲方获得后按照该原则进行二次分配，但投票权归【   】行使。</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r>
        <w:rPr>
          <w:rFonts w:hint="eastAsia" w:ascii="宋体" w:hAnsi="宋体" w:cs="宋体"/>
          <w:sz w:val="24"/>
          <w:szCs w:val="24"/>
        </w:rPr>
        <w:t>2.6 如存在股东间代持，则代持情况及 权利和义务约定如下：</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r>
        <w:rPr>
          <w:rFonts w:hint="eastAsia" w:ascii="宋体" w:hAnsi="宋体" w:cs="宋体"/>
          <w:sz w:val="24"/>
          <w:szCs w:val="24"/>
        </w:rPr>
        <w:t>【                】。</w:t>
      </w: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r>
        <w:rPr>
          <w:rFonts w:hint="eastAsia" w:ascii="宋体" w:hAnsi="宋体" w:cs="宋体"/>
          <w:sz w:val="24"/>
          <w:szCs w:val="24"/>
        </w:rPr>
        <w:t>2.7 综合考虑上述因素后，公司实际股权权益情况如下表：</w:t>
      </w:r>
    </w:p>
    <w:p>
      <w:pPr>
        <w:widowControl/>
        <w:tabs>
          <w:tab w:val="left" w:pos="1134"/>
        </w:tabs>
        <w:autoSpaceDE w:val="0"/>
        <w:autoSpaceDN w:val="0"/>
        <w:adjustRightInd w:val="0"/>
        <w:spacing w:line="400" w:lineRule="exact"/>
        <w:ind w:firstLine="480" w:firstLineChars="200"/>
        <w:rPr>
          <w:rFonts w:ascii="Times New Roman" w:hAnsi="Times New Roman" w:cs="Times New Roman"/>
          <w:sz w:val="24"/>
          <w:szCs w:val="24"/>
        </w:rPr>
      </w:pPr>
    </w:p>
    <w:tbl>
      <w:tblPr>
        <w:tblStyle w:val="12"/>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51"/>
        <w:gridCol w:w="1136"/>
        <w:gridCol w:w="1134"/>
        <w:gridCol w:w="709"/>
        <w:gridCol w:w="1134"/>
        <w:gridCol w:w="212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
                <w:bCs/>
                <w:szCs w:val="21"/>
              </w:rPr>
            </w:pPr>
          </w:p>
        </w:tc>
        <w:tc>
          <w:tcPr>
            <w:tcW w:w="951"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姓名</w:t>
            </w:r>
          </w:p>
        </w:tc>
        <w:tc>
          <w:tcPr>
            <w:tcW w:w="1136"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认缴出资额（万元）</w:t>
            </w:r>
          </w:p>
        </w:tc>
        <w:tc>
          <w:tcPr>
            <w:tcW w:w="1134"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实缴出资额（万元）</w:t>
            </w:r>
          </w:p>
        </w:tc>
        <w:tc>
          <w:tcPr>
            <w:tcW w:w="709"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持股比例（%）</w:t>
            </w:r>
          </w:p>
        </w:tc>
        <w:tc>
          <w:tcPr>
            <w:tcW w:w="1134"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出资形式</w:t>
            </w:r>
          </w:p>
        </w:tc>
        <w:tc>
          <w:tcPr>
            <w:tcW w:w="2126"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出资时间</w:t>
            </w:r>
          </w:p>
        </w:tc>
        <w:tc>
          <w:tcPr>
            <w:tcW w:w="1727" w:type="dxa"/>
            <w:vAlign w:val="center"/>
          </w:tcPr>
          <w:p>
            <w:pPr>
              <w:widowControl/>
              <w:tabs>
                <w:tab w:val="left" w:pos="1134"/>
              </w:tabs>
              <w:autoSpaceDE w:val="0"/>
              <w:autoSpaceDN w:val="0"/>
              <w:adjustRightInd w:val="0"/>
              <w:spacing w:line="400" w:lineRule="exact"/>
              <w:jc w:val="center"/>
              <w:rPr>
                <w:rFonts w:ascii="宋体" w:hAnsi="宋体"/>
                <w:b/>
                <w:bCs/>
                <w:szCs w:val="21"/>
              </w:rPr>
            </w:pPr>
            <w:r>
              <w:rPr>
                <w:rFonts w:hint="eastAsia" w:ascii="宋体" w:hAnsi="宋体"/>
                <w:b/>
                <w:bCs/>
                <w:szCs w:val="21"/>
              </w:rPr>
              <w:t>持有方式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甲方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乙方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丙方</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52"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合计</w:t>
            </w:r>
          </w:p>
        </w:tc>
        <w:tc>
          <w:tcPr>
            <w:tcW w:w="951"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1136"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p>
        </w:tc>
        <w:tc>
          <w:tcPr>
            <w:tcW w:w="709"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100</w:t>
            </w:r>
          </w:p>
        </w:tc>
        <w:tc>
          <w:tcPr>
            <w:tcW w:w="1134"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2126"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c>
          <w:tcPr>
            <w:tcW w:w="1727" w:type="dxa"/>
            <w:vAlign w:val="center"/>
          </w:tcPr>
          <w:p>
            <w:pPr>
              <w:widowControl/>
              <w:tabs>
                <w:tab w:val="left" w:pos="1134"/>
              </w:tabs>
              <w:autoSpaceDE w:val="0"/>
              <w:autoSpaceDN w:val="0"/>
              <w:adjustRightInd w:val="0"/>
              <w:spacing w:line="400" w:lineRule="exact"/>
              <w:jc w:val="center"/>
              <w:rPr>
                <w:rFonts w:ascii="宋体" w:hAnsi="宋体"/>
                <w:bCs/>
                <w:szCs w:val="21"/>
              </w:rPr>
            </w:pPr>
            <w:r>
              <w:rPr>
                <w:rFonts w:hint="eastAsia" w:ascii="宋体" w:hAnsi="宋体"/>
                <w:bCs/>
                <w:szCs w:val="21"/>
              </w:rPr>
              <w:t>——</w:t>
            </w:r>
          </w:p>
        </w:tc>
      </w:tr>
    </w:tbl>
    <w:p>
      <w:pPr>
        <w:pStyle w:val="14"/>
        <w:tabs>
          <w:tab w:val="left" w:pos="1134"/>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sz w:val="24"/>
          <w:szCs w:val="24"/>
        </w:rPr>
      </w:pP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p>
    <w:p>
      <w:pPr>
        <w:pStyle w:val="14"/>
        <w:tabs>
          <w:tab w:val="left" w:pos="1843"/>
        </w:tabs>
        <w:overflowPunct w:val="0"/>
        <w:autoSpaceDE w:val="0"/>
        <w:autoSpaceDN w:val="0"/>
        <w:adjustRightInd w:val="0"/>
        <w:snapToGrid w:val="0"/>
        <w:spacing w:before="156" w:beforeLines="50" w:after="156" w:afterLines="50" w:line="300" w:lineRule="auto"/>
        <w:ind w:firstLine="480"/>
        <w:textAlignment w:val="baseline"/>
        <w:rPr>
          <w:rFonts w:ascii="宋体" w:hAnsi="宋体" w:cs="宋体"/>
          <w:sz w:val="24"/>
          <w:szCs w:val="24"/>
        </w:rPr>
      </w:pPr>
    </w:p>
    <w:p>
      <w:pPr>
        <w:pStyle w:val="14"/>
        <w:tabs>
          <w:tab w:val="left" w:pos="1134"/>
        </w:tabs>
        <w:overflowPunct w:val="0"/>
        <w:autoSpaceDE w:val="0"/>
        <w:autoSpaceDN w:val="0"/>
        <w:adjustRightInd w:val="0"/>
        <w:snapToGrid w:val="0"/>
        <w:spacing w:before="156" w:beforeLines="50" w:after="156" w:afterLines="50" w:line="300" w:lineRule="auto"/>
        <w:ind w:firstLine="0" w:firstLineChars="0"/>
        <w:textAlignment w:val="baseline"/>
        <w:rPr>
          <w:rFonts w:ascii="Times New Roman" w:hAnsi="Times New Roman" w:cs="Times New Roman"/>
          <w:kern w:val="0"/>
          <w:sz w:val="24"/>
          <w:szCs w:val="24"/>
        </w:rPr>
      </w:pPr>
    </w:p>
    <w:p>
      <w:pPr>
        <w:pStyle w:val="3"/>
        <w:numPr>
          <w:ilvl w:val="0"/>
          <w:numId w:val="3"/>
        </w:numPr>
        <w:spacing w:before="156" w:beforeLines="50" w:after="156" w:afterLines="50" w:line="300" w:lineRule="auto"/>
        <w:rPr>
          <w:rFonts w:ascii="宋体" w:eastAsia="宋体"/>
          <w:sz w:val="24"/>
          <w:szCs w:val="24"/>
        </w:rPr>
      </w:pPr>
      <w:r>
        <w:rPr>
          <w:rFonts w:hint="eastAsia" w:ascii="宋体" w:eastAsia="宋体"/>
          <w:sz w:val="24"/>
          <w:szCs w:val="24"/>
        </w:rPr>
        <w:t>分红权与表决权</w:t>
      </w:r>
    </w:p>
    <w:p>
      <w:pPr>
        <w:pStyle w:val="13"/>
        <w:widowControl/>
        <w:tabs>
          <w:tab w:val="left" w:pos="1276"/>
        </w:tabs>
        <w:adjustRightInd w:val="0"/>
        <w:snapToGrid w:val="0"/>
        <w:spacing w:before="156" w:after="156" w:line="360" w:lineRule="auto"/>
        <w:ind w:firstLine="0" w:firstLineChars="0"/>
        <w:rPr>
          <w:rFonts w:ascii="Times New Roman" w:hAnsi="Times New Roman"/>
          <w:sz w:val="24"/>
          <w:szCs w:val="24"/>
        </w:rPr>
      </w:pPr>
      <w:r>
        <w:rPr>
          <w:rFonts w:hint="eastAsia" w:ascii="Times New Roman" w:hAnsi="Times New Roman"/>
          <w:sz w:val="24"/>
          <w:szCs w:val="24"/>
        </w:rPr>
        <w:t xml:space="preserve">    1. 各方按第一条2.2及2.3的约定获得公司的股息红利及相应的其他现金收益权。</w:t>
      </w:r>
    </w:p>
    <w:p>
      <w:pPr>
        <w:pStyle w:val="13"/>
        <w:widowControl/>
        <w:tabs>
          <w:tab w:val="left" w:pos="1276"/>
        </w:tabs>
        <w:adjustRightInd w:val="0"/>
        <w:snapToGrid w:val="0"/>
        <w:spacing w:before="156" w:after="156" w:line="360" w:lineRule="auto"/>
        <w:ind w:firstLine="0" w:firstLineChars="0"/>
        <w:rPr>
          <w:rFonts w:ascii="Times New Roman" w:hAnsi="Times New Roman"/>
          <w:sz w:val="24"/>
          <w:szCs w:val="24"/>
        </w:rPr>
      </w:pPr>
      <w:r>
        <w:rPr>
          <w:rFonts w:hint="eastAsia" w:ascii="Times New Roman" w:hAnsi="Times New Roman"/>
          <w:sz w:val="24"/>
          <w:szCs w:val="24"/>
        </w:rPr>
        <w:t xml:space="preserve">    2. 表决权</w:t>
      </w:r>
    </w:p>
    <w:p>
      <w:pPr>
        <w:pStyle w:val="13"/>
        <w:widowControl/>
        <w:tabs>
          <w:tab w:val="left" w:pos="1276"/>
        </w:tabs>
        <w:adjustRightInd w:val="0"/>
        <w:snapToGrid w:val="0"/>
        <w:spacing w:before="156" w:after="156" w:line="360" w:lineRule="auto"/>
        <w:ind w:firstLine="0" w:firstLineChars="0"/>
        <w:rPr>
          <w:rFonts w:ascii="Times New Roman" w:hAnsi="Times New Roman"/>
          <w:sz w:val="24"/>
          <w:szCs w:val="24"/>
        </w:rPr>
      </w:pPr>
      <w:r>
        <w:rPr>
          <w:rFonts w:hint="eastAsia" w:ascii="Times New Roman" w:hAnsi="Times New Roman"/>
          <w:sz w:val="24"/>
          <w:szCs w:val="24"/>
        </w:rPr>
        <w:t xml:space="preserve">    2.1 由于甲方替丙方各方代持股权，因此甲方与丙方各方之间达成一致行动协议如下：</w:t>
      </w:r>
    </w:p>
    <w:p>
      <w:pPr>
        <w:tabs>
          <w:tab w:val="left" w:pos="1276"/>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cs="Times New Roman"/>
          <w:sz w:val="24"/>
          <w:szCs w:val="24"/>
        </w:rPr>
      </w:pPr>
    </w:p>
    <w:p>
      <w:pPr>
        <w:pStyle w:val="3"/>
        <w:numPr>
          <w:ilvl w:val="0"/>
          <w:numId w:val="3"/>
        </w:numPr>
        <w:spacing w:before="156" w:beforeLines="50" w:after="156" w:afterLines="50" w:line="300" w:lineRule="auto"/>
        <w:rPr>
          <w:rFonts w:ascii="宋体" w:eastAsia="宋体"/>
          <w:sz w:val="24"/>
          <w:szCs w:val="24"/>
        </w:rPr>
      </w:pPr>
      <w:bookmarkStart w:id="6" w:name="_Toc392868422"/>
      <w:bookmarkStart w:id="7" w:name="_Toc409253483"/>
      <w:bookmarkStart w:id="8" w:name="_Toc427589051"/>
      <w:r>
        <w:rPr>
          <w:rFonts w:hint="eastAsia" w:ascii="宋体" w:eastAsia="宋体"/>
          <w:sz w:val="24"/>
          <w:szCs w:val="24"/>
        </w:rPr>
        <w:t>承诺和保证</w:t>
      </w:r>
      <w:bookmarkEnd w:id="6"/>
      <w:bookmarkEnd w:id="7"/>
      <w:bookmarkEnd w:id="8"/>
    </w:p>
    <w:p>
      <w:pPr>
        <w:tabs>
          <w:tab w:val="left" w:pos="567"/>
        </w:tabs>
        <w:overflowPunct w:val="0"/>
        <w:autoSpaceDE w:val="0"/>
        <w:autoSpaceDN w:val="0"/>
        <w:adjustRightInd w:val="0"/>
        <w:snapToGrid w:val="0"/>
        <w:spacing w:before="156" w:beforeLines="50" w:after="156" w:afterLines="50" w:line="300" w:lineRule="auto"/>
        <w:ind w:left="424" w:leftChars="202" w:firstLine="2"/>
        <w:textAlignment w:val="baseline"/>
        <w:rPr>
          <w:rFonts w:ascii="Times New Roman" w:hAnsi="Times New Roman" w:cs="Times New Roman"/>
          <w:sz w:val="24"/>
          <w:szCs w:val="24"/>
        </w:rPr>
      </w:pPr>
      <w:r>
        <w:rPr>
          <w:rFonts w:hint="eastAsia" w:ascii="Times New Roman" w:hAnsi="Times New Roman" w:cs="Times New Roman"/>
          <w:sz w:val="24"/>
          <w:szCs w:val="24"/>
        </w:rPr>
        <w:t>各方的承诺和保证</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（1）各方</w:t>
      </w:r>
      <w:r>
        <w:rPr>
          <w:rFonts w:ascii="Times New Roman" w:hAnsi="Times New Roman"/>
          <w:sz w:val="24"/>
          <w:szCs w:val="24"/>
        </w:rPr>
        <w:t>具有订立及履行本协议的权利与能力。</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（2）各方的出资</w:t>
      </w:r>
      <w:r>
        <w:rPr>
          <w:rFonts w:ascii="Times New Roman" w:hAnsi="Times New Roman"/>
          <w:sz w:val="24"/>
          <w:szCs w:val="24"/>
        </w:rPr>
        <w:t>资金来源合法，且有充分的资金及时</w:t>
      </w:r>
      <w:r>
        <w:rPr>
          <w:rFonts w:hint="eastAsia" w:ascii="Times New Roman" w:hAnsi="Times New Roman"/>
          <w:sz w:val="24"/>
          <w:szCs w:val="24"/>
        </w:rPr>
        <w:t>缴付</w:t>
      </w:r>
      <w:r>
        <w:rPr>
          <w:rFonts w:ascii="Times New Roman" w:hAnsi="Times New Roman"/>
          <w:sz w:val="24"/>
          <w:szCs w:val="24"/>
        </w:rPr>
        <w:t>本协议所述的价款。</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（3）各方签署及履行本协议</w:t>
      </w:r>
      <w:r>
        <w:rPr>
          <w:rFonts w:ascii="Times New Roman" w:hAnsi="Times New Roman"/>
          <w:sz w:val="24"/>
          <w:szCs w:val="24"/>
        </w:rPr>
        <w:t>不违反法律、</w:t>
      </w:r>
      <w:r>
        <w:rPr>
          <w:rFonts w:hint="eastAsia" w:ascii="Times New Roman" w:hAnsi="Times New Roman"/>
          <w:sz w:val="24"/>
          <w:szCs w:val="24"/>
        </w:rPr>
        <w:t>法规</w:t>
      </w:r>
      <w:r>
        <w:rPr>
          <w:rFonts w:ascii="Times New Roman" w:hAnsi="Times New Roman"/>
          <w:sz w:val="24"/>
          <w:szCs w:val="24"/>
        </w:rPr>
        <w:t>及与第三方签订的协议/合同的规定。</w:t>
      </w:r>
    </w:p>
    <w:p>
      <w:pPr>
        <w:pStyle w:val="14"/>
        <w:tabs>
          <w:tab w:val="left" w:pos="709"/>
        </w:tabs>
        <w:spacing w:before="156" w:beforeLines="50" w:after="156" w:afterLines="50" w:line="300" w:lineRule="auto"/>
        <w:ind w:left="709" w:firstLine="0" w:firstLineChars="0"/>
        <w:rPr>
          <w:rFonts w:ascii="Times New Roman" w:hAnsi="Times New Roman"/>
          <w:sz w:val="24"/>
          <w:szCs w:val="24"/>
        </w:rPr>
      </w:pPr>
    </w:p>
    <w:p>
      <w:pPr>
        <w:pStyle w:val="2"/>
        <w:numPr>
          <w:ilvl w:val="0"/>
          <w:numId w:val="2"/>
        </w:numPr>
        <w:tabs>
          <w:tab w:val="left" w:pos="567"/>
        </w:tabs>
        <w:spacing w:before="156" w:beforeLines="50" w:after="156" w:afterLines="50" w:line="300" w:lineRule="auto"/>
        <w:jc w:val="center"/>
        <w:rPr>
          <w:rFonts w:ascii="Times New Roman" w:hAnsi="Times New Roman"/>
          <w:sz w:val="24"/>
          <w:szCs w:val="24"/>
        </w:rPr>
      </w:pPr>
      <w:bookmarkStart w:id="9" w:name="_Toc409253484"/>
      <w:bookmarkStart w:id="10" w:name="_Toc427589052"/>
      <w:bookmarkStart w:id="11" w:name="_Toc392677029"/>
      <w:bookmarkStart w:id="12" w:name="_Toc392868423"/>
      <w:r>
        <w:rPr>
          <w:rFonts w:hint="eastAsia" w:ascii="Times New Roman" w:hAnsi="Times New Roman"/>
          <w:sz w:val="24"/>
          <w:szCs w:val="24"/>
        </w:rPr>
        <w:t>各方股权的权利限制</w:t>
      </w:r>
      <w:bookmarkEnd w:id="9"/>
      <w:bookmarkEnd w:id="10"/>
      <w:bookmarkEnd w:id="11"/>
      <w:bookmarkEnd w:id="12"/>
    </w:p>
    <w:p>
      <w:pPr>
        <w:tabs>
          <w:tab w:val="left" w:pos="567"/>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cs="Times New Roman"/>
          <w:kern w:val="0"/>
          <w:sz w:val="24"/>
          <w:szCs w:val="24"/>
        </w:rPr>
      </w:pPr>
      <w:bookmarkStart w:id="13" w:name="_Toc392677035"/>
      <w:bookmarkStart w:id="14" w:name="_Toc392868428"/>
      <w:bookmarkStart w:id="15" w:name="_Toc409253487"/>
      <w:bookmarkStart w:id="16" w:name="_Toc427589055"/>
      <w:bookmarkStart w:id="17" w:name="_Toc406710595"/>
      <w:bookmarkStart w:id="18" w:name="_Toc409253488"/>
      <w:bookmarkStart w:id="19" w:name="_Toc427589056"/>
      <w:r>
        <w:rPr>
          <w:rFonts w:hint="eastAsia" w:ascii="Times New Roman" w:hAnsi="Times New Roman" w:cs="Times New Roman"/>
          <w:sz w:val="24"/>
          <w:szCs w:val="24"/>
        </w:rPr>
        <w:t>基于</w:t>
      </w:r>
      <w:r>
        <w:rPr>
          <w:rFonts w:hint="eastAsia" w:ascii="Times New Roman" w:hAnsi="Times New Roman" w:cs="Times New Roman"/>
          <w:kern w:val="0"/>
          <w:sz w:val="24"/>
          <w:szCs w:val="24"/>
        </w:rPr>
        <w:t>各方同意在退出事件发生之前会持续服务于公司，各方以其在退出事件之前的服务获得公司相应股权。据此，各方同意自公司设立日起，即对各方享有的股权根据本协议第二章的规定进行相应权利限制。</w:t>
      </w:r>
    </w:p>
    <w:p>
      <w:pPr>
        <w:pStyle w:val="3"/>
        <w:numPr>
          <w:ilvl w:val="0"/>
          <w:numId w:val="3"/>
        </w:numPr>
        <w:spacing w:before="156" w:beforeLines="50" w:after="156" w:afterLines="50" w:line="300" w:lineRule="auto"/>
        <w:rPr>
          <w:rFonts w:ascii="宋体" w:eastAsia="宋体"/>
          <w:sz w:val="24"/>
          <w:szCs w:val="24"/>
        </w:rPr>
      </w:pPr>
      <w:r>
        <w:rPr>
          <w:rFonts w:hint="eastAsia" w:ascii="宋体" w:eastAsia="宋体"/>
          <w:sz w:val="24"/>
          <w:szCs w:val="24"/>
        </w:rPr>
        <w:t>退出事件</w:t>
      </w:r>
    </w:p>
    <w:p>
      <w:pPr>
        <w:pStyle w:val="13"/>
        <w:widowControl/>
        <w:adjustRightInd w:val="0"/>
        <w:snapToGrid w:val="0"/>
        <w:spacing w:before="156" w:beforeLines="50" w:after="156" w:afterLines="50" w:line="300" w:lineRule="auto"/>
        <w:ind w:left="424" w:leftChars="202" w:firstLine="0" w:firstLineChars="0"/>
        <w:rPr>
          <w:rFonts w:ascii="Times New Roman" w:hAnsi="Times New Roman"/>
          <w:sz w:val="24"/>
        </w:rPr>
      </w:pPr>
      <w:r>
        <w:rPr>
          <w:rFonts w:ascii="Times New Roman" w:hAnsi="Times New Roman"/>
          <w:bCs/>
          <w:kern w:val="0"/>
          <w:sz w:val="24"/>
        </w:rPr>
        <w:t>在本</w:t>
      </w:r>
      <w:r>
        <w:rPr>
          <w:rFonts w:hint="eastAsia" w:ascii="Times New Roman" w:hAnsi="Times New Roman"/>
          <w:kern w:val="0"/>
          <w:sz w:val="24"/>
        </w:rPr>
        <w:t>协议</w:t>
      </w:r>
      <w:r>
        <w:rPr>
          <w:rFonts w:ascii="Times New Roman" w:hAnsi="Times New Roman"/>
          <w:bCs/>
          <w:kern w:val="0"/>
          <w:sz w:val="24"/>
        </w:rPr>
        <w:t>中，“</w:t>
      </w:r>
      <w:r>
        <w:rPr>
          <w:rFonts w:ascii="Times New Roman" w:hAnsi="Times New Roman"/>
          <w:sz w:val="24"/>
        </w:rPr>
        <w:t>退出事件”是指：</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公司公开发行</w:t>
      </w:r>
      <w:r>
        <w:rPr>
          <w:rFonts w:hint="eastAsia" w:ascii="Times New Roman" w:hAnsi="Times New Roman"/>
          <w:sz w:val="24"/>
          <w:szCs w:val="24"/>
        </w:rPr>
        <w:t>股票并</w:t>
      </w:r>
      <w:r>
        <w:rPr>
          <w:rFonts w:ascii="Times New Roman" w:hAnsi="Times New Roman"/>
          <w:sz w:val="24"/>
          <w:szCs w:val="24"/>
        </w:rPr>
        <w:t>上市；</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（2）公司申请其股票在全国中小企业股份转让系统挂牌并公开转让；</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（3）全体股东</w:t>
      </w:r>
      <w:r>
        <w:rPr>
          <w:rFonts w:ascii="Times New Roman" w:hAnsi="Times New Roman"/>
          <w:sz w:val="24"/>
          <w:szCs w:val="24"/>
        </w:rPr>
        <w:t>出售公司全部股权；</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公司出售其全部资产；</w:t>
      </w:r>
    </w:p>
    <w:p>
      <w:pPr>
        <w:pStyle w:val="13"/>
        <w:widowControl/>
        <w:tabs>
          <w:tab w:val="left" w:pos="851"/>
        </w:tabs>
        <w:adjustRightInd w:val="0"/>
        <w:snapToGrid w:val="0"/>
        <w:spacing w:before="156" w:beforeLines="50" w:after="156" w:afterLines="50" w:line="300" w:lineRule="auto"/>
        <w:ind w:left="1275" w:leftChars="203" w:hanging="849" w:hangingChars="354"/>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公司被依法解散或清算。</w:t>
      </w:r>
    </w:p>
    <w:p>
      <w:pPr>
        <w:pStyle w:val="3"/>
        <w:numPr>
          <w:ilvl w:val="0"/>
          <w:numId w:val="3"/>
        </w:numPr>
        <w:spacing w:before="156" w:beforeLines="50" w:after="156" w:afterLines="50" w:line="300" w:lineRule="auto"/>
        <w:rPr>
          <w:rFonts w:ascii="宋体" w:eastAsia="宋体"/>
          <w:sz w:val="24"/>
          <w:szCs w:val="24"/>
        </w:rPr>
      </w:pPr>
      <w:r>
        <w:rPr>
          <w:rFonts w:hint="eastAsia" w:ascii="宋体" w:eastAsia="宋体"/>
          <w:sz w:val="24"/>
          <w:szCs w:val="24"/>
        </w:rPr>
        <w:t>股权的成熟</w:t>
      </w:r>
    </w:p>
    <w:p>
      <w:pPr>
        <w:pStyle w:val="13"/>
        <w:widowControl/>
        <w:tabs>
          <w:tab w:val="left" w:pos="1276"/>
        </w:tabs>
        <w:adjustRightInd w:val="0"/>
        <w:snapToGrid w:val="0"/>
        <w:spacing w:before="156" w:after="156" w:line="360" w:lineRule="auto"/>
        <w:ind w:left="1133" w:leftChars="405" w:hanging="283" w:firstLineChars="0"/>
        <w:rPr>
          <w:rFonts w:ascii="Times New Roman" w:hAnsi="Times New Roman"/>
          <w:sz w:val="24"/>
          <w:szCs w:val="24"/>
        </w:rPr>
      </w:pPr>
      <w:r>
        <w:rPr>
          <w:rFonts w:hint="eastAsia" w:ascii="Times New Roman" w:hAnsi="Times New Roman"/>
          <w:sz w:val="24"/>
          <w:szCs w:val="24"/>
        </w:rPr>
        <w:t>1．为保证创始人团队及创业项目的稳定，全体股东一致同意：各方在本协议约定及工商登记的股权均为限制性股权，自本协议签署并生效之日起</w:t>
      </w:r>
      <w:r>
        <w:rPr>
          <w:rFonts w:hint="eastAsia" w:ascii="Times New Roman" w:hAnsi="Times New Roman"/>
          <w:sz w:val="24"/>
          <w:szCs w:val="24"/>
          <w:highlight w:val="yellow"/>
        </w:rPr>
        <w:t>【   】</w:t>
      </w:r>
      <w:r>
        <w:rPr>
          <w:rFonts w:hint="eastAsia" w:ascii="Times New Roman" w:hAnsi="Times New Roman"/>
          <w:sz w:val="24"/>
          <w:szCs w:val="24"/>
        </w:rPr>
        <w:t>年后成熟。</w:t>
      </w:r>
    </w:p>
    <w:p>
      <w:pPr>
        <w:pStyle w:val="13"/>
        <w:widowControl/>
        <w:tabs>
          <w:tab w:val="left" w:pos="1276"/>
        </w:tabs>
        <w:adjustRightInd w:val="0"/>
        <w:snapToGrid w:val="0"/>
        <w:spacing w:before="156" w:after="156" w:line="360" w:lineRule="auto"/>
        <w:ind w:left="1133" w:leftChars="405" w:hanging="283" w:firstLineChars="0"/>
        <w:rPr>
          <w:rFonts w:ascii="Times New Roman" w:hAnsi="Times New Roman"/>
          <w:sz w:val="24"/>
          <w:szCs w:val="24"/>
        </w:rPr>
      </w:pPr>
      <w:r>
        <w:rPr>
          <w:rFonts w:hint="eastAsia" w:ascii="Times New Roman" w:hAnsi="Times New Roman"/>
          <w:sz w:val="24"/>
          <w:szCs w:val="24"/>
        </w:rPr>
        <w:t>2．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pPr>
        <w:pStyle w:val="13"/>
        <w:widowControl/>
        <w:tabs>
          <w:tab w:val="left" w:pos="1276"/>
        </w:tabs>
        <w:adjustRightInd w:val="0"/>
        <w:snapToGrid w:val="0"/>
        <w:spacing w:before="156" w:after="156" w:line="360" w:lineRule="auto"/>
        <w:ind w:left="1133" w:leftChars="405" w:hanging="283" w:firstLineChars="0"/>
        <w:rPr>
          <w:rFonts w:ascii="Times New Roman" w:hAnsi="Times New Roman"/>
          <w:sz w:val="24"/>
          <w:szCs w:val="24"/>
        </w:rPr>
      </w:pPr>
      <w:r>
        <w:rPr>
          <w:rFonts w:hint="eastAsia" w:ascii="Times New Roman" w:hAnsi="Times New Roman"/>
          <w:sz w:val="24"/>
          <w:szCs w:val="24"/>
        </w:rPr>
        <w:t>3．如果公司发生本协议第四条约定退出事件任意之一项，则在退出事件发生之日起，在符合本协议其他规定的情况下，各方所有未成熟标的股权均立即成熟。</w:t>
      </w:r>
    </w:p>
    <w:p>
      <w:pPr>
        <w:pStyle w:val="13"/>
        <w:widowControl/>
        <w:tabs>
          <w:tab w:val="left" w:pos="1276"/>
        </w:tabs>
        <w:adjustRightInd w:val="0"/>
        <w:snapToGrid w:val="0"/>
        <w:spacing w:before="156" w:after="156" w:line="360" w:lineRule="auto"/>
        <w:ind w:left="1133" w:leftChars="405" w:hanging="283" w:firstLineChars="0"/>
        <w:rPr>
          <w:rFonts w:ascii="Times New Roman" w:hAnsi="Times New Roman"/>
          <w:sz w:val="24"/>
          <w:szCs w:val="24"/>
        </w:rPr>
      </w:pPr>
      <w:r>
        <w:rPr>
          <w:rFonts w:hint="eastAsia" w:ascii="Times New Roman" w:hAnsi="Times New Roman"/>
          <w:sz w:val="24"/>
          <w:szCs w:val="24"/>
        </w:rPr>
        <w:t>4．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pPr>
        <w:pStyle w:val="3"/>
        <w:numPr>
          <w:ilvl w:val="0"/>
          <w:numId w:val="3"/>
        </w:numPr>
        <w:spacing w:before="156" w:beforeLines="50" w:after="156" w:afterLines="50" w:line="300" w:lineRule="auto"/>
        <w:rPr>
          <w:rFonts w:ascii="宋体" w:eastAsia="宋体"/>
          <w:sz w:val="24"/>
          <w:szCs w:val="24"/>
        </w:rPr>
      </w:pPr>
      <w:bookmarkStart w:id="20" w:name="_Toc409253486"/>
      <w:bookmarkStart w:id="21" w:name="_Toc392868426"/>
      <w:bookmarkStart w:id="22" w:name="_Toc427589054"/>
      <w:bookmarkStart w:id="23" w:name="_Toc392677032"/>
      <w:r>
        <w:rPr>
          <w:rFonts w:hint="eastAsia" w:ascii="宋体" w:eastAsia="宋体"/>
          <w:sz w:val="24"/>
          <w:szCs w:val="24"/>
        </w:rPr>
        <w:t>回购股权</w:t>
      </w:r>
      <w:bookmarkEnd w:id="20"/>
      <w:bookmarkEnd w:id="21"/>
      <w:bookmarkEnd w:id="22"/>
      <w:bookmarkEnd w:id="23"/>
    </w:p>
    <w:p>
      <w:pPr>
        <w:tabs>
          <w:tab w:val="left" w:pos="851"/>
        </w:tabs>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（一）因过错导致的回购</w:t>
      </w:r>
    </w:p>
    <w:p>
      <w:pPr>
        <w:pStyle w:val="13"/>
        <w:widowControl/>
        <w:adjustRightInd w:val="0"/>
        <w:snapToGrid w:val="0"/>
        <w:spacing w:before="156" w:beforeLines="50" w:after="156" w:afterLines="50" w:line="300" w:lineRule="auto"/>
        <w:ind w:left="850" w:leftChars="405" w:firstLine="1" w:firstLineChars="0"/>
        <w:rPr>
          <w:rFonts w:ascii="宋体" w:hAnsi="宋体"/>
          <w:kern w:val="0"/>
          <w:sz w:val="24"/>
        </w:rPr>
      </w:pPr>
      <w:r>
        <w:rPr>
          <w:rFonts w:hint="eastAsia" w:ascii="宋体" w:hAnsi="宋体"/>
          <w:kern w:val="0"/>
          <w:sz w:val="24"/>
        </w:rPr>
        <w:t>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pPr>
        <w:pStyle w:val="13"/>
        <w:widowControl/>
        <w:adjustRightInd w:val="0"/>
        <w:snapToGrid w:val="0"/>
        <w:spacing w:before="156" w:beforeLines="50" w:after="156" w:afterLines="50" w:line="300" w:lineRule="auto"/>
        <w:ind w:left="850" w:leftChars="405" w:firstLine="1" w:firstLineChars="0"/>
        <w:rPr>
          <w:rFonts w:ascii="宋体" w:hAnsi="宋体"/>
          <w:kern w:val="0"/>
          <w:sz w:val="24"/>
        </w:rPr>
      </w:pPr>
      <w:r>
        <w:rPr>
          <w:rFonts w:hint="eastAsia" w:ascii="宋体" w:hAnsi="宋体"/>
          <w:kern w:val="0"/>
          <w:sz w:val="24"/>
        </w:rPr>
        <w:t>该等过错行为包括：</w:t>
      </w:r>
    </w:p>
    <w:p>
      <w:pPr>
        <w:pStyle w:val="13"/>
        <w:widowControl/>
        <w:tabs>
          <w:tab w:val="left" w:pos="426"/>
        </w:tabs>
        <w:adjustRightInd w:val="0"/>
        <w:snapToGrid w:val="0"/>
        <w:spacing w:before="156" w:beforeLines="50" w:after="156" w:afterLines="50" w:line="300" w:lineRule="auto"/>
        <w:ind w:left="850" w:leftChars="405" w:firstLine="0" w:firstLineChars="0"/>
        <w:rPr>
          <w:rFonts w:ascii="Times New Roman" w:hAnsi="Times New Roman"/>
          <w:sz w:val="24"/>
          <w:szCs w:val="24"/>
        </w:rPr>
      </w:pPr>
      <w:r>
        <w:rPr>
          <w:rFonts w:hint="eastAsia" w:ascii="Times New Roman" w:hAnsi="Times New Roman"/>
          <w:sz w:val="24"/>
          <w:szCs w:val="24"/>
        </w:rPr>
        <w:t>（1）严重违反保密或非竞争协议的约定；</w:t>
      </w:r>
    </w:p>
    <w:p>
      <w:pPr>
        <w:pStyle w:val="13"/>
        <w:widowControl/>
        <w:tabs>
          <w:tab w:val="left" w:pos="426"/>
        </w:tabs>
        <w:adjustRightInd w:val="0"/>
        <w:snapToGrid w:val="0"/>
        <w:spacing w:before="156" w:beforeLines="50" w:after="156" w:afterLines="50" w:line="300" w:lineRule="auto"/>
        <w:ind w:left="850" w:leftChars="405" w:firstLine="0" w:firstLineChars="0"/>
        <w:rPr>
          <w:rFonts w:ascii="Times New Roman" w:hAnsi="Times New Roman"/>
          <w:sz w:val="24"/>
          <w:szCs w:val="24"/>
        </w:rPr>
      </w:pPr>
      <w:r>
        <w:rPr>
          <w:rFonts w:hint="eastAsia" w:ascii="Times New Roman" w:hAnsi="Times New Roman"/>
          <w:sz w:val="24"/>
          <w:szCs w:val="24"/>
        </w:rPr>
        <w:t>（2） 严重违反劳动合同的约定导致公司解除劳动合同的；</w:t>
      </w:r>
    </w:p>
    <w:p>
      <w:pPr>
        <w:pStyle w:val="13"/>
        <w:widowControl/>
        <w:tabs>
          <w:tab w:val="left" w:pos="426"/>
        </w:tabs>
        <w:adjustRightInd w:val="0"/>
        <w:snapToGrid w:val="0"/>
        <w:spacing w:before="156" w:beforeLines="50" w:after="156" w:afterLines="50" w:line="300" w:lineRule="auto"/>
        <w:ind w:left="850" w:leftChars="405" w:firstLine="0" w:firstLineChars="0"/>
        <w:rPr>
          <w:rFonts w:ascii="Times New Roman" w:hAnsi="Times New Roman"/>
          <w:sz w:val="24"/>
          <w:szCs w:val="24"/>
        </w:rPr>
      </w:pPr>
      <w:r>
        <w:rPr>
          <w:rFonts w:hint="eastAsia" w:ascii="Times New Roman" w:hAnsi="Times New Roman"/>
          <w:sz w:val="24"/>
          <w:szCs w:val="24"/>
        </w:rPr>
        <w:t>（3）触犯刑法导致受到刑事处罚的；</w:t>
      </w:r>
    </w:p>
    <w:p>
      <w:pPr>
        <w:pStyle w:val="13"/>
        <w:widowControl/>
        <w:tabs>
          <w:tab w:val="left" w:pos="426"/>
        </w:tabs>
        <w:adjustRightInd w:val="0"/>
        <w:snapToGrid w:val="0"/>
        <w:spacing w:before="156" w:beforeLines="50" w:after="156" w:afterLines="50" w:line="300" w:lineRule="auto"/>
        <w:ind w:left="850" w:leftChars="405" w:firstLine="0" w:firstLineChars="0"/>
        <w:rPr>
          <w:rFonts w:ascii="Times New Roman" w:hAnsi="Times New Roman"/>
          <w:sz w:val="24"/>
          <w:szCs w:val="24"/>
        </w:rPr>
      </w:pPr>
      <w:r>
        <w:rPr>
          <w:rFonts w:hint="eastAsia" w:ascii="Times New Roman" w:hAnsi="Times New Roman"/>
          <w:sz w:val="24"/>
          <w:szCs w:val="24"/>
        </w:rPr>
        <w:t>（4）未履行劳动合同或未履行承诺的服务或贡献的；</w:t>
      </w:r>
    </w:p>
    <w:p>
      <w:pPr>
        <w:pStyle w:val="13"/>
        <w:widowControl/>
        <w:tabs>
          <w:tab w:val="left" w:pos="426"/>
        </w:tabs>
        <w:adjustRightInd w:val="0"/>
        <w:snapToGrid w:val="0"/>
        <w:spacing w:before="156" w:beforeLines="50" w:after="156" w:afterLines="50" w:line="300" w:lineRule="auto"/>
        <w:ind w:left="850" w:leftChars="405" w:firstLine="0" w:firstLineChars="0"/>
        <w:rPr>
          <w:rFonts w:ascii="Times New Roman" w:hAnsi="Times New Roman"/>
          <w:sz w:val="24"/>
          <w:szCs w:val="24"/>
        </w:rPr>
      </w:pPr>
      <w:r>
        <w:rPr>
          <w:rFonts w:hint="eastAsia" w:ascii="Times New Roman" w:hAnsi="Times New Roman"/>
          <w:sz w:val="24"/>
          <w:szCs w:val="24"/>
        </w:rPr>
        <w:t>（5）其他造成公司重大损失的行为</w:t>
      </w:r>
      <w:r>
        <w:rPr>
          <w:rFonts w:ascii="Times New Roman" w:hAnsi="Times New Roman"/>
          <w:sz w:val="24"/>
          <w:szCs w:val="24"/>
        </w:rPr>
        <w:t>。</w:t>
      </w:r>
    </w:p>
    <w:p>
      <w:pPr>
        <w:tabs>
          <w:tab w:val="left" w:pos="567"/>
          <w:tab w:val="left" w:pos="851"/>
        </w:tabs>
        <w:overflowPunct w:val="0"/>
        <w:autoSpaceDE w:val="0"/>
        <w:autoSpaceDN w:val="0"/>
        <w:adjustRightInd w:val="0"/>
        <w:snapToGrid w:val="0"/>
        <w:spacing w:before="156" w:beforeLines="50" w:after="156" w:afterLines="50" w:line="300" w:lineRule="auto"/>
        <w:textAlignment w:val="baseline"/>
        <w:rPr>
          <w:rFonts w:ascii="Times New Roman" w:hAnsi="Times New Roman" w:cs="Times New Roman"/>
          <w:sz w:val="24"/>
          <w:u w:val="single"/>
        </w:rPr>
      </w:pPr>
      <w:r>
        <w:rPr>
          <w:rFonts w:hint="eastAsia" w:ascii="Times New Roman" w:hAnsi="Times New Roman" w:cs="Times New Roman"/>
          <w:kern w:val="0"/>
          <w:sz w:val="24"/>
          <w:szCs w:val="24"/>
        </w:rPr>
        <w:t>（二）</w:t>
      </w:r>
      <w:r>
        <w:rPr>
          <w:rFonts w:ascii="Times New Roman" w:hAnsi="Times New Roman" w:cs="Times New Roman"/>
          <w:sz w:val="24"/>
          <w:u w:val="single"/>
        </w:rPr>
        <w:t>终止</w:t>
      </w:r>
      <w:r>
        <w:rPr>
          <w:rFonts w:ascii="Times New Roman" w:hAnsi="Times New Roman" w:cs="Times New Roman"/>
          <w:kern w:val="0"/>
          <w:sz w:val="24"/>
          <w:szCs w:val="24"/>
          <w:u w:val="single"/>
        </w:rPr>
        <w:t>劳动</w:t>
      </w:r>
      <w:r>
        <w:rPr>
          <w:rFonts w:ascii="Times New Roman" w:hAnsi="Times New Roman" w:cs="Times New Roman"/>
          <w:sz w:val="24"/>
          <w:u w:val="single"/>
        </w:rPr>
        <w:t>关系</w:t>
      </w:r>
      <w:r>
        <w:rPr>
          <w:rFonts w:hint="eastAsia" w:ascii="Times New Roman" w:hAnsi="Times New Roman" w:cs="Times New Roman"/>
          <w:sz w:val="24"/>
          <w:u w:val="single"/>
        </w:rPr>
        <w:t xml:space="preserve">导致的回购 </w:t>
      </w:r>
    </w:p>
    <w:p>
      <w:pPr>
        <w:pStyle w:val="13"/>
        <w:widowControl/>
        <w:adjustRightInd w:val="0"/>
        <w:snapToGrid w:val="0"/>
        <w:spacing w:before="156" w:beforeLines="50" w:after="156" w:afterLines="50" w:line="300" w:lineRule="auto"/>
        <w:ind w:left="850" w:leftChars="405" w:firstLine="0" w:firstLineChars="0"/>
        <w:rPr>
          <w:rFonts w:ascii="Times New Roman" w:hAnsi="Times New Roman"/>
          <w:kern w:val="0"/>
          <w:sz w:val="24"/>
        </w:rPr>
      </w:pPr>
      <w:r>
        <w:rPr>
          <w:rFonts w:hint="eastAsia" w:ascii="Times New Roman" w:hAnsi="Times New Roman"/>
          <w:kern w:val="0"/>
          <w:sz w:val="24"/>
        </w:rPr>
        <w:t>在退出事件发生之前，如一方</w:t>
      </w:r>
      <w:r>
        <w:rPr>
          <w:rFonts w:ascii="Times New Roman" w:hAnsi="Times New Roman"/>
          <w:kern w:val="0"/>
          <w:sz w:val="24"/>
        </w:rPr>
        <w:t>与</w:t>
      </w:r>
      <w:r>
        <w:rPr>
          <w:rFonts w:hint="eastAsia" w:ascii="Times New Roman" w:hAnsi="Times New Roman"/>
          <w:kern w:val="0"/>
          <w:sz w:val="24"/>
        </w:rPr>
        <w:t>公司</w:t>
      </w:r>
      <w:r>
        <w:rPr>
          <w:rFonts w:ascii="Times New Roman" w:hAnsi="Times New Roman"/>
          <w:kern w:val="0"/>
          <w:sz w:val="24"/>
        </w:rPr>
        <w:t>终止劳动关系或者服务关系的，包括但不限于</w:t>
      </w:r>
      <w:r>
        <w:rPr>
          <w:rFonts w:hint="eastAsia" w:ascii="Times New Roman" w:hAnsi="Times New Roman"/>
          <w:kern w:val="0"/>
          <w:sz w:val="24"/>
        </w:rPr>
        <w:t>该</w:t>
      </w:r>
      <w:r>
        <w:rPr>
          <w:rFonts w:ascii="Times New Roman" w:hAnsi="Times New Roman"/>
          <w:kern w:val="0"/>
          <w:sz w:val="24"/>
        </w:rPr>
        <w:t>方主动离职</w:t>
      </w:r>
      <w:r>
        <w:rPr>
          <w:rFonts w:hint="eastAsia" w:ascii="Times New Roman" w:hAnsi="Times New Roman"/>
          <w:kern w:val="0"/>
          <w:sz w:val="24"/>
        </w:rPr>
        <w:t>，该</w:t>
      </w:r>
      <w:r>
        <w:rPr>
          <w:rFonts w:ascii="Times New Roman" w:hAnsi="Times New Roman"/>
          <w:kern w:val="0"/>
          <w:sz w:val="24"/>
        </w:rPr>
        <w:t>方与</w:t>
      </w:r>
      <w:r>
        <w:rPr>
          <w:rFonts w:hint="eastAsia" w:ascii="Times New Roman" w:hAnsi="Times New Roman"/>
          <w:kern w:val="0"/>
          <w:sz w:val="24"/>
        </w:rPr>
        <w:t>公司</w:t>
      </w:r>
      <w:r>
        <w:rPr>
          <w:rFonts w:ascii="Times New Roman" w:hAnsi="Times New Roman"/>
          <w:kern w:val="0"/>
          <w:sz w:val="24"/>
        </w:rPr>
        <w:t>协商终止劳动</w:t>
      </w:r>
      <w:r>
        <w:rPr>
          <w:rFonts w:hint="eastAsia" w:ascii="Times New Roman" w:hAnsi="Times New Roman"/>
          <w:kern w:val="0"/>
          <w:sz w:val="24"/>
        </w:rPr>
        <w:t>或服务</w:t>
      </w:r>
      <w:r>
        <w:rPr>
          <w:rFonts w:ascii="Times New Roman" w:hAnsi="Times New Roman"/>
          <w:kern w:val="0"/>
          <w:sz w:val="24"/>
        </w:rPr>
        <w:t>关系，</w:t>
      </w:r>
      <w:r>
        <w:rPr>
          <w:rFonts w:hint="eastAsia" w:ascii="Times New Roman" w:hAnsi="Times New Roman"/>
          <w:kern w:val="0"/>
          <w:sz w:val="24"/>
        </w:rPr>
        <w:t>或该方因自身原因不能履行义务，</w:t>
      </w:r>
      <w:r>
        <w:rPr>
          <w:rFonts w:ascii="Times New Roman" w:hAnsi="Times New Roman"/>
          <w:kern w:val="0"/>
          <w:sz w:val="24"/>
        </w:rPr>
        <w:t>则</w:t>
      </w:r>
      <w:r>
        <w:rPr>
          <w:rFonts w:hint="eastAsia" w:ascii="宋体" w:hAnsi="宋体"/>
          <w:kern w:val="0"/>
          <w:sz w:val="24"/>
        </w:rPr>
        <w:t>其他方有权按照届时持有的实缴出资之比例，以如下约定之价格或方式行使回购权：回购价格及回购标的具体约定如下</w:t>
      </w:r>
      <w:r>
        <w:rPr>
          <w:rFonts w:hint="eastAsia" w:ascii="Times New Roman" w:hAnsi="Times New Roman"/>
          <w:kern w:val="0"/>
          <w:sz w:val="24"/>
        </w:rPr>
        <w:t>：</w:t>
      </w:r>
    </w:p>
    <w:p>
      <w:pPr>
        <w:pStyle w:val="13"/>
        <w:widowControl/>
        <w:adjustRightInd w:val="0"/>
        <w:snapToGrid w:val="0"/>
        <w:spacing w:before="156" w:beforeLines="50" w:after="156" w:afterLines="50" w:line="300" w:lineRule="auto"/>
        <w:ind w:left="850" w:leftChars="405" w:firstLine="0" w:firstLineChars="0"/>
        <w:rPr>
          <w:sz w:val="24"/>
          <w:szCs w:val="24"/>
        </w:rPr>
      </w:pPr>
      <w:r>
        <w:rPr>
          <w:rFonts w:hint="eastAsia" w:ascii="Times New Roman" w:hAnsi="Times New Roman"/>
          <w:sz w:val="24"/>
          <w:szCs w:val="24"/>
        </w:rPr>
        <w:t>（1）</w:t>
      </w:r>
      <w:r>
        <w:rPr>
          <w:rFonts w:hint="eastAsia"/>
          <w:sz w:val="24"/>
          <w:szCs w:val="24"/>
        </w:rPr>
        <w:t xml:space="preserve"> 对于该方尚未成熟的权益</w:t>
      </w:r>
      <w:r>
        <w:rPr>
          <w:rFonts w:hint="eastAsia" w:ascii="宋体" w:hAnsi="宋体"/>
          <w:kern w:val="0"/>
          <w:sz w:val="24"/>
        </w:rPr>
        <w:t xml:space="preserve">及授予的未行权的权益（该等权益包括【 </w:t>
      </w:r>
      <w:r>
        <w:rPr>
          <w:rFonts w:hint="eastAsia" w:ascii="宋体" w:hAnsi="宋体"/>
          <w:i/>
          <w:iCs/>
          <w:kern w:val="0"/>
          <w:szCs w:val="21"/>
        </w:rPr>
        <w:t xml:space="preserve">约定权益范围 </w:t>
      </w:r>
      <w:r>
        <w:rPr>
          <w:rFonts w:hint="eastAsia" w:ascii="宋体" w:hAnsi="宋体"/>
          <w:kern w:val="0"/>
          <w:sz w:val="24"/>
        </w:rPr>
        <w:t xml:space="preserve"> 】）</w:t>
      </w:r>
      <w:r>
        <w:rPr>
          <w:rFonts w:hint="eastAsia"/>
          <w:sz w:val="24"/>
          <w:szCs w:val="24"/>
        </w:rPr>
        <w:t>，自关系终止之日起，该方不再享有任何权利。其他方有权</w:t>
      </w:r>
      <w:r>
        <w:rPr>
          <w:rFonts w:hint="eastAsia" w:ascii="宋体" w:hAnsi="宋体"/>
          <w:kern w:val="0"/>
          <w:sz w:val="24"/>
        </w:rPr>
        <w:t>回购该方所持有的未成熟的股权或其他任何权益，且该方于此无条件且不可撤销地同意该等回购。当收购方提出书面回购要约后，该方不得【</w:t>
      </w:r>
      <w:r>
        <w:rPr>
          <w:rFonts w:hint="eastAsia" w:ascii="宋体" w:hAnsi="宋体"/>
          <w:i/>
          <w:iCs/>
          <w:kern w:val="0"/>
          <w:szCs w:val="21"/>
        </w:rPr>
        <w:t>增加表述，目的是强化回购条款得以实际履行的真实意思表示，并加强违约成本</w:t>
      </w:r>
      <w:r>
        <w:rPr>
          <w:rFonts w:hint="eastAsia" w:ascii="宋体" w:hAnsi="宋体"/>
          <w:kern w:val="0"/>
          <w:sz w:val="24"/>
        </w:rPr>
        <w:t xml:space="preserve">】。收购方应按照【 </w:t>
      </w:r>
      <w:r>
        <w:rPr>
          <w:rFonts w:hint="eastAsia" w:ascii="宋体" w:hAnsi="宋体"/>
          <w:i/>
          <w:iCs/>
          <w:kern w:val="0"/>
          <w:szCs w:val="21"/>
        </w:rPr>
        <w:t>约定各方之间实施的方法</w:t>
      </w:r>
      <w:r>
        <w:rPr>
          <w:rFonts w:hint="eastAsia" w:ascii="宋体" w:hAnsi="宋体"/>
          <w:kern w:val="0"/>
          <w:sz w:val="24"/>
        </w:rPr>
        <w:t xml:space="preserve">       】行使回购权。</w:t>
      </w:r>
    </w:p>
    <w:p>
      <w:pPr>
        <w:pStyle w:val="13"/>
        <w:widowControl/>
        <w:adjustRightInd w:val="0"/>
        <w:snapToGrid w:val="0"/>
        <w:spacing w:before="156" w:beforeLines="50" w:after="156" w:afterLines="50" w:line="300" w:lineRule="auto"/>
        <w:ind w:left="850" w:leftChars="405" w:firstLine="0" w:firstLineChars="0"/>
        <w:rPr>
          <w:rFonts w:ascii="宋体" w:hAnsi="宋体"/>
          <w:kern w:val="0"/>
          <w:sz w:val="24"/>
        </w:rPr>
      </w:pPr>
      <w:r>
        <w:rPr>
          <w:rFonts w:hint="eastAsia" w:ascii="Times New Roman" w:hAnsi="Times New Roman"/>
          <w:sz w:val="24"/>
          <w:szCs w:val="24"/>
        </w:rPr>
        <w:t>（2）</w:t>
      </w:r>
      <w:r>
        <w:rPr>
          <w:rFonts w:hint="eastAsia"/>
          <w:sz w:val="24"/>
          <w:szCs w:val="24"/>
        </w:rPr>
        <w:t xml:space="preserve"> 对于该方已成熟的权益或已经享有的权益</w:t>
      </w:r>
      <w:r>
        <w:rPr>
          <w:rFonts w:hint="eastAsia" w:ascii="宋体" w:hAnsi="宋体"/>
          <w:kern w:val="0"/>
          <w:sz w:val="24"/>
        </w:rPr>
        <w:t xml:space="preserve">（该等权益包括【  </w:t>
      </w:r>
      <w:r>
        <w:rPr>
          <w:rFonts w:hint="eastAsia" w:ascii="宋体" w:hAnsi="宋体"/>
          <w:i/>
          <w:iCs/>
          <w:kern w:val="0"/>
          <w:szCs w:val="21"/>
        </w:rPr>
        <w:t xml:space="preserve">约定权益范围 </w:t>
      </w:r>
      <w:r>
        <w:rPr>
          <w:rFonts w:hint="eastAsia" w:ascii="宋体" w:hAnsi="宋体"/>
          <w:kern w:val="0"/>
          <w:sz w:val="24"/>
        </w:rPr>
        <w:t xml:space="preserve">    】）</w:t>
      </w:r>
      <w:r>
        <w:rPr>
          <w:rFonts w:hint="eastAsia"/>
          <w:sz w:val="24"/>
          <w:szCs w:val="24"/>
        </w:rPr>
        <w:t>，其他方有权</w:t>
      </w:r>
      <w:r>
        <w:rPr>
          <w:rFonts w:hint="eastAsia" w:ascii="宋体" w:hAnsi="宋体"/>
          <w:kern w:val="0"/>
          <w:sz w:val="24"/>
        </w:rPr>
        <w:t>回购该方所持有的任何权益，且该方于此无条件且不可撤销地同意该等回购。当收购方提出书面回购要约后，该方不得【</w:t>
      </w:r>
      <w:r>
        <w:rPr>
          <w:rFonts w:hint="eastAsia" w:ascii="宋体" w:hAnsi="宋体"/>
          <w:i/>
          <w:iCs/>
          <w:kern w:val="0"/>
          <w:szCs w:val="21"/>
        </w:rPr>
        <w:t>增加表述，目的是强化回购条款得以实际履行的真实意思表示，并加强违约成本</w:t>
      </w:r>
      <w:r>
        <w:rPr>
          <w:rFonts w:hint="eastAsia" w:ascii="宋体" w:hAnsi="宋体"/>
          <w:kern w:val="0"/>
          <w:sz w:val="24"/>
        </w:rPr>
        <w:t xml:space="preserve">    】。收购方应按照【 </w:t>
      </w:r>
      <w:r>
        <w:rPr>
          <w:rFonts w:hint="eastAsia" w:ascii="宋体" w:hAnsi="宋体"/>
          <w:i/>
          <w:iCs/>
          <w:kern w:val="0"/>
          <w:szCs w:val="21"/>
        </w:rPr>
        <w:t>约定各方之间实施的方法</w:t>
      </w:r>
      <w:r>
        <w:rPr>
          <w:rFonts w:hint="eastAsia" w:ascii="宋体" w:hAnsi="宋体"/>
          <w:kern w:val="0"/>
          <w:sz w:val="24"/>
        </w:rPr>
        <w:t xml:space="preserve"> 】行使回购权。价格约定如下：</w:t>
      </w:r>
    </w:p>
    <w:p>
      <w:pPr>
        <w:pStyle w:val="13"/>
        <w:widowControl/>
        <w:adjustRightInd w:val="0"/>
        <w:snapToGrid w:val="0"/>
        <w:spacing w:before="156" w:beforeLines="50" w:after="156" w:afterLines="50" w:line="300" w:lineRule="auto"/>
        <w:ind w:left="850" w:leftChars="405" w:firstLine="0" w:firstLineChars="0"/>
        <w:rPr>
          <w:sz w:val="24"/>
          <w:szCs w:val="24"/>
        </w:rPr>
      </w:pPr>
      <w:r>
        <w:rPr>
          <w:rFonts w:hint="eastAsia"/>
          <w:sz w:val="24"/>
          <w:szCs w:val="24"/>
        </w:rPr>
        <w:t>A. 尚未获得融资前，回购价格为：公司注册资本总额</w:t>
      </w:r>
      <w:r>
        <w:rPr>
          <w:rFonts w:hint="eastAsia" w:ascii="Times New Roman" w:hAnsi="Times New Roman"/>
          <w:kern w:val="0"/>
          <w:sz w:val="24"/>
        </w:rPr>
        <w:t>×该</w:t>
      </w:r>
      <w:r>
        <w:rPr>
          <w:rFonts w:hint="eastAsia"/>
          <w:sz w:val="24"/>
          <w:szCs w:val="24"/>
        </w:rPr>
        <w:t>方实缴出资额/届时公司所有股东实缴出资额+央行公布当期一年期存款定期利息</w:t>
      </w:r>
      <w:r>
        <w:rPr>
          <w:rFonts w:hint="eastAsia" w:ascii="Times New Roman" w:hAnsi="Times New Roman"/>
          <w:kern w:val="0"/>
          <w:sz w:val="24"/>
        </w:rPr>
        <w:t>×【】（系数）</w:t>
      </w:r>
      <w:r>
        <w:rPr>
          <w:rFonts w:hint="eastAsia"/>
          <w:sz w:val="24"/>
          <w:szCs w:val="24"/>
        </w:rPr>
        <w:t>。</w:t>
      </w:r>
    </w:p>
    <w:p>
      <w:pPr>
        <w:pStyle w:val="13"/>
        <w:widowControl/>
        <w:adjustRightInd w:val="0"/>
        <w:snapToGrid w:val="0"/>
        <w:spacing w:before="156" w:beforeLines="50" w:after="156" w:afterLines="50" w:line="300" w:lineRule="auto"/>
        <w:ind w:left="850" w:leftChars="405" w:firstLine="0" w:firstLineChars="0"/>
        <w:rPr>
          <w:rFonts w:ascii="Times New Roman" w:hAnsi="Times New Roman"/>
          <w:kern w:val="0"/>
          <w:sz w:val="24"/>
        </w:rPr>
      </w:pPr>
      <w:r>
        <w:rPr>
          <w:rFonts w:hint="eastAsia"/>
          <w:sz w:val="24"/>
          <w:szCs w:val="24"/>
        </w:rPr>
        <w:t xml:space="preserve">B. </w:t>
      </w:r>
      <w:r>
        <w:rPr>
          <w:rFonts w:hint="eastAsia" w:ascii="Times New Roman" w:hAnsi="Times New Roman"/>
          <w:kern w:val="0"/>
          <w:sz w:val="24"/>
        </w:rPr>
        <w:t>若已获得融资，回购价格为：股权对应的公司最近一轮投后融资估值的【  】%（计算公式：最近一轮投后融资估值×股权×【   】%）。</w:t>
      </w:r>
    </w:p>
    <w:p>
      <w:pPr>
        <w:pStyle w:val="3"/>
        <w:numPr>
          <w:ilvl w:val="0"/>
          <w:numId w:val="3"/>
        </w:numPr>
        <w:spacing w:before="156" w:beforeLines="50" w:after="156" w:afterLines="50" w:line="300" w:lineRule="auto"/>
        <w:rPr>
          <w:rFonts w:ascii="宋体" w:eastAsia="宋体"/>
          <w:sz w:val="24"/>
          <w:szCs w:val="24"/>
        </w:rPr>
      </w:pPr>
      <w:r>
        <w:rPr>
          <w:rFonts w:hint="eastAsia" w:ascii="宋体" w:eastAsia="宋体"/>
          <w:sz w:val="24"/>
          <w:szCs w:val="24"/>
        </w:rPr>
        <w:t>标的股权转让限制</w:t>
      </w:r>
      <w:bookmarkEnd w:id="13"/>
      <w:bookmarkEnd w:id="14"/>
      <w:bookmarkEnd w:id="15"/>
      <w:bookmarkEnd w:id="16"/>
    </w:p>
    <w:p>
      <w:pPr>
        <w:numPr>
          <w:ilvl w:val="0"/>
          <w:numId w:val="5"/>
        </w:numPr>
        <w:tabs>
          <w:tab w:val="left" w:pos="851"/>
        </w:tabs>
        <w:overflowPunct w:val="0"/>
        <w:autoSpaceDE w:val="0"/>
        <w:autoSpaceDN w:val="0"/>
        <w:adjustRightInd w:val="0"/>
        <w:snapToGrid w:val="0"/>
        <w:spacing w:before="156" w:beforeLines="50" w:after="156" w:afterLines="50" w:line="300" w:lineRule="auto"/>
        <w:ind w:left="850" w:hanging="849" w:hangingChars="354"/>
        <w:textAlignment w:val="baseline"/>
        <w:rPr>
          <w:rFonts w:ascii="Times New Roman" w:hAnsi="Times New Roman"/>
          <w:sz w:val="24"/>
          <w:szCs w:val="24"/>
        </w:rPr>
      </w:pPr>
      <w:r>
        <w:rPr>
          <w:rFonts w:hint="eastAsia" w:ascii="Times New Roman" w:hAnsi="Times New Roman"/>
          <w:sz w:val="24"/>
          <w:szCs w:val="24"/>
        </w:rPr>
        <w:t>限制转让</w:t>
      </w:r>
    </w:p>
    <w:p>
      <w:pPr>
        <w:tabs>
          <w:tab w:val="left" w:pos="851"/>
        </w:tabs>
        <w:overflowPunct w:val="0"/>
        <w:autoSpaceDE w:val="0"/>
        <w:autoSpaceDN w:val="0"/>
        <w:adjustRightInd w:val="0"/>
        <w:snapToGrid w:val="0"/>
        <w:spacing w:before="156" w:beforeLines="50" w:after="156" w:afterLines="50" w:line="300" w:lineRule="auto"/>
        <w:ind w:left="850" w:leftChars="405"/>
        <w:textAlignment w:val="baseline"/>
        <w:rPr>
          <w:rFonts w:ascii="Times New Roman" w:hAnsi="Times New Roman"/>
          <w:sz w:val="24"/>
          <w:szCs w:val="24"/>
        </w:rPr>
      </w:pPr>
      <w:r>
        <w:rPr>
          <w:rFonts w:hint="eastAsia" w:ascii="Times New Roman" w:hAnsi="Times New Roman"/>
          <w:sz w:val="24"/>
          <w:szCs w:val="24"/>
        </w:rPr>
        <w:t xml:space="preserve">在退出事件发生之前或公司获得投资机构或其他类型的投资人的融资额度达【 </w:t>
      </w:r>
      <w:r>
        <w:rPr>
          <w:rFonts w:hint="eastAsia" w:ascii="Times New Roman" w:hAnsi="Times New Roman"/>
          <w:i/>
          <w:iCs/>
          <w:szCs w:val="21"/>
        </w:rPr>
        <w:t>结合公司实际情况预估</w:t>
      </w:r>
      <w:r>
        <w:rPr>
          <w:rFonts w:hint="eastAsia" w:ascii="Times New Roman" w:hAnsi="Times New Roman"/>
          <w:sz w:val="24"/>
          <w:szCs w:val="24"/>
        </w:rPr>
        <w:t>】万元之前，除非股东会另行决定，各方不得向任何人以转让、赠与、质押、信托或其它任何方式，对股权进行处置或在其上设置第三人权利。</w:t>
      </w:r>
    </w:p>
    <w:p>
      <w:pPr>
        <w:numPr>
          <w:ilvl w:val="0"/>
          <w:numId w:val="5"/>
        </w:numPr>
        <w:tabs>
          <w:tab w:val="left" w:pos="851"/>
        </w:tabs>
        <w:overflowPunct w:val="0"/>
        <w:autoSpaceDE w:val="0"/>
        <w:autoSpaceDN w:val="0"/>
        <w:adjustRightInd w:val="0"/>
        <w:snapToGrid w:val="0"/>
        <w:spacing w:before="156" w:beforeLines="50" w:after="156" w:afterLines="50" w:line="300" w:lineRule="auto"/>
        <w:ind w:left="850" w:hanging="849" w:hangingChars="354"/>
        <w:textAlignment w:val="baseline"/>
        <w:rPr>
          <w:rFonts w:ascii="Times New Roman" w:hAnsi="Times New Roman" w:cs="Times New Roman"/>
          <w:sz w:val="24"/>
          <w:szCs w:val="24"/>
        </w:rPr>
      </w:pPr>
      <w:r>
        <w:rPr>
          <w:rFonts w:hint="eastAsia" w:ascii="Times New Roman" w:hAnsi="Times New Roman" w:cs="Times New Roman"/>
          <w:sz w:val="24"/>
          <w:szCs w:val="24"/>
        </w:rPr>
        <w:t>优先受让权</w:t>
      </w:r>
    </w:p>
    <w:p>
      <w:pPr>
        <w:tabs>
          <w:tab w:val="left" w:pos="851"/>
        </w:tabs>
        <w:overflowPunct w:val="0"/>
        <w:autoSpaceDE w:val="0"/>
        <w:autoSpaceDN w:val="0"/>
        <w:adjustRightInd w:val="0"/>
        <w:snapToGrid w:val="0"/>
        <w:spacing w:before="156" w:beforeLines="50" w:after="156" w:afterLines="50" w:line="300" w:lineRule="auto"/>
        <w:ind w:left="850" w:leftChars="405"/>
        <w:textAlignment w:val="baseline"/>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sz w:val="24"/>
          <w:szCs w:val="24"/>
        </w:rPr>
        <w:t>满足</w:t>
      </w:r>
      <w:r>
        <w:rPr>
          <w:rFonts w:ascii="Times New Roman" w:hAnsi="Times New Roman" w:cs="Times New Roman"/>
          <w:sz w:val="24"/>
          <w:szCs w:val="24"/>
        </w:rPr>
        <w:t>本协议约定的转让限制的前提下，在退出事件发生之前，如果</w:t>
      </w:r>
      <w:r>
        <w:rPr>
          <w:rFonts w:hint="eastAsia" w:ascii="Times New Roman" w:hAnsi="Times New Roman" w:cs="Times New Roman"/>
          <w:sz w:val="24"/>
          <w:szCs w:val="24"/>
        </w:rPr>
        <w:t>一方向他方（包含本协议的其他方及任何第三方）</w:t>
      </w:r>
      <w:r>
        <w:rPr>
          <w:rFonts w:ascii="Times New Roman" w:hAnsi="Times New Roman" w:cs="Times New Roman"/>
          <w:sz w:val="24"/>
          <w:szCs w:val="24"/>
        </w:rPr>
        <w:t>转让股权，</w:t>
      </w:r>
      <w:r>
        <w:rPr>
          <w:rFonts w:hint="eastAsia" w:ascii="Times New Roman" w:hAnsi="Times New Roman" w:cs="Times New Roman"/>
          <w:sz w:val="24"/>
          <w:szCs w:val="24"/>
        </w:rPr>
        <w:t>该</w:t>
      </w:r>
      <w:r>
        <w:rPr>
          <w:rFonts w:ascii="Times New Roman" w:hAnsi="Times New Roman" w:cs="Times New Roman"/>
          <w:sz w:val="24"/>
          <w:szCs w:val="24"/>
        </w:rPr>
        <w:t>方应提前通知</w:t>
      </w:r>
      <w:r>
        <w:rPr>
          <w:rFonts w:hint="eastAsia" w:ascii="Times New Roman" w:hAnsi="Times New Roman" w:cs="Times New Roman"/>
          <w:sz w:val="24"/>
          <w:szCs w:val="24"/>
        </w:rPr>
        <w:t>其他方</w:t>
      </w:r>
      <w:r>
        <w:rPr>
          <w:rFonts w:ascii="Times New Roman" w:hAnsi="Times New Roman" w:cs="Times New Roman"/>
          <w:sz w:val="24"/>
          <w:szCs w:val="24"/>
        </w:rPr>
        <w:t>。在同等条件下，</w:t>
      </w:r>
      <w:r>
        <w:rPr>
          <w:rFonts w:hint="eastAsia" w:ascii="Times New Roman" w:hAnsi="Times New Roman" w:cs="Times New Roman"/>
          <w:sz w:val="24"/>
          <w:szCs w:val="24"/>
        </w:rPr>
        <w:t>其他享有优先购买权；如控股股东放弃行使优先购买权，其他方</w:t>
      </w:r>
      <w:r>
        <w:rPr>
          <w:rFonts w:ascii="Times New Roman" w:hAnsi="Times New Roman" w:cs="Times New Roman"/>
          <w:sz w:val="24"/>
          <w:szCs w:val="24"/>
        </w:rPr>
        <w:t>有权以与第三方的同等条件优先购买全部或部分拟转让的股权</w:t>
      </w:r>
      <w:r>
        <w:rPr>
          <w:rFonts w:hint="eastAsia" w:ascii="Times New Roman" w:hAnsi="Times New Roman" w:cs="Times New Roman"/>
          <w:sz w:val="24"/>
          <w:szCs w:val="24"/>
        </w:rPr>
        <w:t>，如其他方同时行使优先共购买权的，则按比例购买拟转让股权</w:t>
      </w:r>
      <w:r>
        <w:rPr>
          <w:rFonts w:ascii="Times New Roman" w:hAnsi="Times New Roman" w:cs="Times New Roman"/>
          <w:sz w:val="24"/>
          <w:szCs w:val="24"/>
        </w:rPr>
        <w:t>。</w:t>
      </w:r>
    </w:p>
    <w:bookmarkEnd w:id="17"/>
    <w:bookmarkEnd w:id="18"/>
    <w:bookmarkEnd w:id="19"/>
    <w:p>
      <w:pPr>
        <w:pStyle w:val="3"/>
        <w:numPr>
          <w:ilvl w:val="0"/>
          <w:numId w:val="3"/>
        </w:numPr>
        <w:spacing w:before="156" w:beforeLines="50" w:after="156" w:afterLines="50" w:line="300" w:lineRule="auto"/>
        <w:rPr>
          <w:rFonts w:ascii="宋体" w:eastAsia="宋体"/>
          <w:sz w:val="24"/>
          <w:szCs w:val="24"/>
        </w:rPr>
      </w:pPr>
      <w:bookmarkStart w:id="24" w:name="_Toc427589059"/>
      <w:r>
        <w:rPr>
          <w:rFonts w:hint="eastAsia" w:ascii="宋体" w:eastAsia="宋体"/>
          <w:sz w:val="24"/>
          <w:szCs w:val="24"/>
        </w:rPr>
        <w:t>竞业禁止与禁止劝诱</w:t>
      </w:r>
      <w:bookmarkEnd w:id="24"/>
    </w:p>
    <w:p>
      <w:pPr>
        <w:numPr>
          <w:ilvl w:val="0"/>
          <w:numId w:val="6"/>
        </w:numPr>
        <w:tabs>
          <w:tab w:val="left" w:pos="851"/>
        </w:tabs>
        <w:overflowPunct w:val="0"/>
        <w:autoSpaceDE w:val="0"/>
        <w:autoSpaceDN w:val="0"/>
        <w:adjustRightInd w:val="0"/>
        <w:snapToGrid w:val="0"/>
        <w:spacing w:before="156" w:beforeLines="50" w:after="156" w:afterLines="50" w:line="300" w:lineRule="auto"/>
        <w:ind w:left="850" w:hanging="849" w:hangingChars="354"/>
        <w:textAlignment w:val="baseline"/>
        <w:rPr>
          <w:sz w:val="24"/>
          <w:szCs w:val="24"/>
        </w:rPr>
      </w:pPr>
      <w:r>
        <w:rPr>
          <w:rFonts w:hint="eastAsia"/>
          <w:sz w:val="24"/>
          <w:szCs w:val="24"/>
        </w:rPr>
        <w:t>竞业禁止</w:t>
      </w:r>
    </w:p>
    <w:p>
      <w:pPr>
        <w:tabs>
          <w:tab w:val="left" w:pos="851"/>
        </w:tabs>
        <w:overflowPunct w:val="0"/>
        <w:autoSpaceDE w:val="0"/>
        <w:autoSpaceDN w:val="0"/>
        <w:adjustRightInd w:val="0"/>
        <w:snapToGrid w:val="0"/>
        <w:spacing w:before="156" w:beforeLines="50" w:after="156" w:afterLines="50" w:line="300" w:lineRule="auto"/>
        <w:ind w:left="850" w:leftChars="405"/>
        <w:textAlignment w:val="baseline"/>
        <w:rPr>
          <w:sz w:val="24"/>
          <w:szCs w:val="24"/>
        </w:rPr>
      </w:pPr>
      <w:r>
        <w:rPr>
          <w:rFonts w:hint="eastAsia"/>
          <w:sz w:val="24"/>
          <w:szCs w:val="24"/>
        </w:rPr>
        <w:t>各方承诺，其在本协议签订后至离职后两（2）年内，非经其他股东一致书面同意，不得到与公司有竞争关系的其他用人单位任职，或者自己参与、经营、投资与公司有竞争关系的企业。</w:t>
      </w:r>
    </w:p>
    <w:p>
      <w:pPr>
        <w:numPr>
          <w:ilvl w:val="0"/>
          <w:numId w:val="6"/>
        </w:numPr>
        <w:tabs>
          <w:tab w:val="left" w:pos="851"/>
        </w:tabs>
        <w:overflowPunct w:val="0"/>
        <w:autoSpaceDE w:val="0"/>
        <w:autoSpaceDN w:val="0"/>
        <w:adjustRightInd w:val="0"/>
        <w:snapToGrid w:val="0"/>
        <w:spacing w:before="156" w:beforeLines="50" w:after="156" w:afterLines="50" w:line="300" w:lineRule="auto"/>
        <w:ind w:left="850" w:hanging="849" w:hangingChars="354"/>
        <w:textAlignment w:val="baseline"/>
        <w:rPr>
          <w:sz w:val="24"/>
          <w:szCs w:val="24"/>
        </w:rPr>
      </w:pPr>
      <w:r>
        <w:rPr>
          <w:rFonts w:hint="eastAsia"/>
          <w:sz w:val="24"/>
          <w:szCs w:val="24"/>
        </w:rPr>
        <w:t>禁止劝诱</w:t>
      </w:r>
    </w:p>
    <w:p>
      <w:pPr>
        <w:tabs>
          <w:tab w:val="left" w:pos="851"/>
        </w:tabs>
        <w:overflowPunct w:val="0"/>
        <w:autoSpaceDE w:val="0"/>
        <w:autoSpaceDN w:val="0"/>
        <w:adjustRightInd w:val="0"/>
        <w:snapToGrid w:val="0"/>
        <w:spacing w:before="156" w:beforeLines="50" w:after="156" w:afterLines="50" w:line="300" w:lineRule="auto"/>
        <w:ind w:left="850" w:leftChars="405"/>
        <w:textAlignment w:val="baseline"/>
        <w:rPr>
          <w:sz w:val="24"/>
          <w:szCs w:val="24"/>
        </w:rPr>
      </w:pPr>
      <w:r>
        <w:rPr>
          <w:rFonts w:hint="eastAsia"/>
          <w:sz w:val="24"/>
          <w:szCs w:val="24"/>
        </w:rPr>
        <w:t>各方承诺，非经公司书面同意，各方不会直接或间接聘用公司的员工，并促使其关联方不会从事前述行为。</w:t>
      </w:r>
    </w:p>
    <w:p>
      <w:pPr>
        <w:tabs>
          <w:tab w:val="left" w:pos="851"/>
        </w:tabs>
        <w:overflowPunct w:val="0"/>
        <w:autoSpaceDE w:val="0"/>
        <w:autoSpaceDN w:val="0"/>
        <w:adjustRightInd w:val="0"/>
        <w:snapToGrid w:val="0"/>
        <w:spacing w:before="156" w:beforeLines="50" w:after="156" w:afterLines="50" w:line="300" w:lineRule="auto"/>
        <w:ind w:left="850" w:leftChars="405"/>
        <w:textAlignment w:val="baseline"/>
        <w:rPr>
          <w:sz w:val="24"/>
          <w:szCs w:val="24"/>
        </w:rPr>
      </w:pPr>
    </w:p>
    <w:p>
      <w:pPr>
        <w:pStyle w:val="2"/>
        <w:numPr>
          <w:ilvl w:val="0"/>
          <w:numId w:val="2"/>
        </w:numPr>
        <w:tabs>
          <w:tab w:val="left" w:pos="567"/>
        </w:tabs>
        <w:spacing w:before="156" w:beforeLines="50" w:after="156" w:afterLines="50" w:line="300" w:lineRule="auto"/>
        <w:jc w:val="center"/>
        <w:rPr>
          <w:rFonts w:ascii="Times New Roman" w:hAnsi="Times New Roman"/>
          <w:sz w:val="24"/>
          <w:szCs w:val="24"/>
        </w:rPr>
      </w:pPr>
      <w:bookmarkStart w:id="25" w:name="_Toc409253493"/>
      <w:bookmarkStart w:id="26" w:name="_Toc392868430"/>
      <w:bookmarkStart w:id="27" w:name="_Toc427589063"/>
      <w:bookmarkStart w:id="28" w:name="_Toc392677037"/>
      <w:bookmarkStart w:id="29" w:name="_Ref311564311"/>
      <w:r>
        <w:rPr>
          <w:rFonts w:ascii="Times New Roman" w:hAnsi="Times New Roman"/>
          <w:sz w:val="24"/>
          <w:szCs w:val="24"/>
        </w:rPr>
        <w:t>其他</w:t>
      </w:r>
      <w:bookmarkEnd w:id="25"/>
      <w:bookmarkEnd w:id="26"/>
      <w:bookmarkEnd w:id="27"/>
      <w:bookmarkEnd w:id="28"/>
    </w:p>
    <w:p>
      <w:pPr>
        <w:pStyle w:val="3"/>
        <w:numPr>
          <w:ilvl w:val="0"/>
          <w:numId w:val="3"/>
        </w:numPr>
        <w:spacing w:before="156" w:beforeLines="50" w:after="156" w:afterLines="50" w:line="300" w:lineRule="auto"/>
        <w:rPr>
          <w:rFonts w:ascii="宋体" w:eastAsia="宋体"/>
          <w:sz w:val="24"/>
          <w:szCs w:val="24"/>
        </w:rPr>
      </w:pPr>
      <w:bookmarkStart w:id="30" w:name="_Toc427589064"/>
      <w:bookmarkStart w:id="31" w:name="_Toc409253494"/>
      <w:bookmarkStart w:id="32" w:name="_Toc392677038"/>
      <w:bookmarkStart w:id="33" w:name="_Toc392868431"/>
      <w:r>
        <w:rPr>
          <w:rFonts w:hint="eastAsia" w:ascii="宋体" w:eastAsia="宋体"/>
          <w:sz w:val="24"/>
          <w:szCs w:val="24"/>
        </w:rPr>
        <w:t>增资</w:t>
      </w:r>
      <w:bookmarkEnd w:id="30"/>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在公司存续期间需要增资或减资得以继续发展的，各方按照第一条所列股权比例增资或减资。</w:t>
      </w:r>
    </w:p>
    <w:p>
      <w:pPr>
        <w:pStyle w:val="3"/>
        <w:numPr>
          <w:ilvl w:val="0"/>
          <w:numId w:val="3"/>
        </w:numPr>
        <w:spacing w:before="156" w:beforeLines="50" w:after="156" w:afterLines="50" w:line="300" w:lineRule="auto"/>
        <w:rPr>
          <w:rFonts w:ascii="宋体" w:eastAsia="宋体"/>
          <w:sz w:val="24"/>
          <w:szCs w:val="24"/>
        </w:rPr>
      </w:pPr>
      <w:bookmarkStart w:id="34" w:name="_Toc427589065"/>
      <w:r>
        <w:rPr>
          <w:rFonts w:hint="eastAsia" w:ascii="宋体" w:eastAsia="宋体"/>
          <w:sz w:val="24"/>
          <w:szCs w:val="24"/>
        </w:rPr>
        <w:t>保密</w:t>
      </w:r>
      <w:bookmarkEnd w:id="29"/>
      <w:bookmarkEnd w:id="31"/>
      <w:bookmarkEnd w:id="32"/>
      <w:bookmarkEnd w:id="33"/>
      <w:bookmarkEnd w:id="34"/>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各方</w:t>
      </w:r>
      <w:r>
        <w:rPr>
          <w:rFonts w:ascii="Times New Roman" w:hAnsi="Times New Roman" w:cs="Times New Roman"/>
          <w:kern w:val="0"/>
          <w:sz w:val="24"/>
          <w:szCs w:val="24"/>
        </w:rPr>
        <w:t>应保证不向任何第三方透露本协议的存在与内容。</w:t>
      </w:r>
      <w:r>
        <w:rPr>
          <w:rFonts w:hint="eastAsia" w:ascii="Times New Roman" w:hAnsi="Times New Roman" w:cs="Times New Roman"/>
          <w:kern w:val="0"/>
          <w:sz w:val="24"/>
          <w:szCs w:val="24"/>
        </w:rPr>
        <w:t>各方</w:t>
      </w:r>
      <w:r>
        <w:rPr>
          <w:rFonts w:ascii="Times New Roman" w:hAnsi="Times New Roman" w:cs="Times New Roman"/>
          <w:kern w:val="0"/>
          <w:sz w:val="24"/>
          <w:szCs w:val="24"/>
        </w:rPr>
        <w:t>的保密义务不受本协议终止或失效的影响。</w:t>
      </w:r>
    </w:p>
    <w:p>
      <w:pPr>
        <w:pStyle w:val="3"/>
        <w:numPr>
          <w:ilvl w:val="0"/>
          <w:numId w:val="3"/>
        </w:numPr>
        <w:spacing w:before="156" w:beforeLines="50" w:after="156" w:afterLines="50" w:line="300" w:lineRule="auto"/>
        <w:rPr>
          <w:rFonts w:ascii="宋体" w:eastAsia="宋体"/>
          <w:sz w:val="24"/>
          <w:szCs w:val="24"/>
        </w:rPr>
      </w:pPr>
      <w:bookmarkStart w:id="35" w:name="_Toc392868432"/>
      <w:bookmarkStart w:id="36" w:name="_Toc427589066"/>
      <w:bookmarkStart w:id="37" w:name="_Toc392677039"/>
      <w:bookmarkStart w:id="38" w:name="_Toc409253495"/>
      <w:r>
        <w:rPr>
          <w:rFonts w:hint="eastAsia" w:ascii="宋体" w:eastAsia="宋体"/>
          <w:sz w:val="24"/>
          <w:szCs w:val="24"/>
        </w:rPr>
        <w:t>修订</w:t>
      </w:r>
      <w:bookmarkEnd w:id="35"/>
      <w:bookmarkEnd w:id="36"/>
      <w:bookmarkEnd w:id="37"/>
      <w:bookmarkEnd w:id="38"/>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ascii="Times New Roman" w:hAnsi="Times New Roman" w:cs="Times New Roman"/>
          <w:kern w:val="0"/>
          <w:sz w:val="24"/>
          <w:szCs w:val="24"/>
        </w:rPr>
        <w:t>任何一方对本协议的任何修改、修订或对某条款的放弃均应以书面形式作出，并经本协议</w:t>
      </w:r>
      <w:r>
        <w:rPr>
          <w:rFonts w:hint="eastAsia" w:ascii="Times New Roman" w:hAnsi="Times New Roman" w:cs="Times New Roman"/>
          <w:kern w:val="0"/>
          <w:sz w:val="24"/>
          <w:szCs w:val="24"/>
        </w:rPr>
        <w:t>各方</w:t>
      </w:r>
      <w:r>
        <w:rPr>
          <w:rFonts w:ascii="Times New Roman" w:hAnsi="Times New Roman" w:cs="Times New Roman"/>
          <w:kern w:val="0"/>
          <w:sz w:val="24"/>
          <w:szCs w:val="24"/>
        </w:rPr>
        <w:t>签字方才生效。</w:t>
      </w:r>
    </w:p>
    <w:p>
      <w:pPr>
        <w:pStyle w:val="3"/>
        <w:numPr>
          <w:ilvl w:val="0"/>
          <w:numId w:val="3"/>
        </w:numPr>
        <w:spacing w:before="156" w:beforeLines="50" w:after="156" w:afterLines="50" w:line="300" w:lineRule="auto"/>
        <w:rPr>
          <w:rFonts w:ascii="宋体" w:eastAsia="宋体"/>
          <w:sz w:val="24"/>
          <w:szCs w:val="24"/>
        </w:rPr>
      </w:pPr>
      <w:bookmarkStart w:id="39" w:name="_Toc409253496"/>
      <w:bookmarkStart w:id="40" w:name="_Toc392677040"/>
      <w:bookmarkStart w:id="41" w:name="_Toc427589067"/>
      <w:bookmarkStart w:id="42" w:name="_Toc392868433"/>
      <w:r>
        <w:rPr>
          <w:rFonts w:hint="eastAsia" w:ascii="宋体" w:eastAsia="宋体"/>
          <w:sz w:val="24"/>
          <w:szCs w:val="24"/>
        </w:rPr>
        <w:t>可分割性</w:t>
      </w:r>
      <w:bookmarkEnd w:id="39"/>
      <w:bookmarkEnd w:id="40"/>
      <w:bookmarkEnd w:id="41"/>
      <w:bookmarkEnd w:id="42"/>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ascii="Times New Roman" w:hAnsi="Times New Roman" w:cs="Times New Roman"/>
          <w:kern w:val="0"/>
          <w:sz w:val="24"/>
          <w:szCs w:val="24"/>
        </w:rPr>
        <w:t>本协议任何条款的无效或不可执行均不影响其他条款的效力，除该无效或不可执行条款以外的所有其他条款均各自独立，并在法律许可范围内具有可执行性。</w:t>
      </w:r>
    </w:p>
    <w:p>
      <w:pPr>
        <w:pStyle w:val="3"/>
        <w:numPr>
          <w:ilvl w:val="0"/>
          <w:numId w:val="3"/>
        </w:numPr>
        <w:spacing w:before="156" w:beforeLines="50" w:after="156" w:afterLines="50" w:line="300" w:lineRule="auto"/>
        <w:rPr>
          <w:rFonts w:ascii="宋体" w:eastAsia="宋体"/>
          <w:sz w:val="24"/>
          <w:szCs w:val="24"/>
        </w:rPr>
      </w:pPr>
      <w:bookmarkStart w:id="43" w:name="_Toc409253497"/>
      <w:bookmarkStart w:id="44" w:name="_Toc392677041"/>
      <w:bookmarkStart w:id="45" w:name="_Toc427589068"/>
      <w:bookmarkStart w:id="46" w:name="_Toc392868434"/>
      <w:r>
        <w:rPr>
          <w:rFonts w:hint="eastAsia" w:ascii="宋体" w:eastAsia="宋体"/>
          <w:sz w:val="24"/>
          <w:szCs w:val="24"/>
        </w:rPr>
        <w:t>效力优先</w:t>
      </w:r>
      <w:bookmarkEnd w:id="43"/>
      <w:bookmarkEnd w:id="44"/>
      <w:bookmarkEnd w:id="45"/>
      <w:bookmarkEnd w:id="46"/>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如果本协议与公司章程等其他公司文件不一致或相冲突，本协议效力应被优先使用。</w:t>
      </w:r>
    </w:p>
    <w:p>
      <w:pPr>
        <w:pStyle w:val="3"/>
        <w:numPr>
          <w:ilvl w:val="0"/>
          <w:numId w:val="3"/>
        </w:numPr>
        <w:spacing w:before="156" w:beforeLines="50" w:after="156" w:afterLines="50" w:line="300" w:lineRule="auto"/>
        <w:rPr>
          <w:rFonts w:ascii="宋体" w:eastAsia="宋体"/>
          <w:sz w:val="24"/>
          <w:szCs w:val="24"/>
        </w:rPr>
      </w:pPr>
      <w:bookmarkStart w:id="47" w:name="_Toc392868435"/>
      <w:bookmarkStart w:id="48" w:name="_Toc427589069"/>
      <w:bookmarkStart w:id="49" w:name="_Toc409253498"/>
      <w:bookmarkStart w:id="50" w:name="_Toc392677042"/>
      <w:r>
        <w:rPr>
          <w:rFonts w:hint="eastAsia" w:ascii="宋体" w:eastAsia="宋体"/>
          <w:sz w:val="24"/>
          <w:szCs w:val="24"/>
        </w:rPr>
        <w:t>违约责任</w:t>
      </w:r>
      <w:bookmarkEnd w:id="47"/>
      <w:bookmarkEnd w:id="48"/>
      <w:bookmarkEnd w:id="49"/>
      <w:bookmarkEnd w:id="50"/>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如果任何一方违反本协议</w:t>
      </w:r>
      <w:r>
        <w:rPr>
          <w:rFonts w:hint="eastAsia" w:ascii="Times New Roman" w:hAnsi="Times New Roman" w:cs="Times New Roman"/>
          <w:kern w:val="0"/>
          <w:sz w:val="24"/>
          <w:szCs w:val="24"/>
          <w:highlight w:val="yellow"/>
        </w:rPr>
        <w:t>第六条</w:t>
      </w:r>
      <w:r>
        <w:rPr>
          <w:rFonts w:hint="eastAsia" w:ascii="Times New Roman" w:hAnsi="Times New Roman" w:cs="Times New Roman"/>
          <w:kern w:val="0"/>
          <w:sz w:val="24"/>
          <w:szCs w:val="24"/>
        </w:rPr>
        <w:t xml:space="preserve">的规定未能向股权回购方或权利行使方转让全部或部分权益或配合办理相应的工商登记备案手续，则违约方应向其他守约方承担人民币【 </w:t>
      </w:r>
      <w:r>
        <w:rPr>
          <w:rFonts w:hint="eastAsia" w:ascii="Times New Roman" w:hAnsi="Times New Roman" w:cs="Times New Roman"/>
          <w:i/>
          <w:iCs/>
          <w:kern w:val="0"/>
          <w:szCs w:val="21"/>
        </w:rPr>
        <w:t xml:space="preserve">可以用约定较大金额的方式加重违约责任，或约定其他方式  </w:t>
      </w:r>
      <w:r>
        <w:rPr>
          <w:rFonts w:hint="eastAsia" w:ascii="Times New Roman" w:hAnsi="Times New Roman" w:cs="Times New Roman"/>
          <w:kern w:val="0"/>
          <w:sz w:val="24"/>
          <w:szCs w:val="24"/>
        </w:rPr>
        <w:t xml:space="preserve">  】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任何一方违反本协议任何其他约定的，违约方</w:t>
      </w:r>
      <w:r>
        <w:rPr>
          <w:rFonts w:ascii="Times New Roman" w:hAnsi="Times New Roman" w:cs="Times New Roman"/>
          <w:kern w:val="0"/>
          <w:sz w:val="24"/>
          <w:szCs w:val="24"/>
        </w:rPr>
        <w:t>应对其违反本协议的规定而向其他方承担违约责任或赔偿责任。</w:t>
      </w:r>
    </w:p>
    <w:p>
      <w:pPr>
        <w:pStyle w:val="3"/>
        <w:numPr>
          <w:ilvl w:val="0"/>
          <w:numId w:val="3"/>
        </w:numPr>
        <w:spacing w:before="156" w:beforeLines="50" w:after="156" w:afterLines="50" w:line="300" w:lineRule="auto"/>
        <w:rPr>
          <w:rFonts w:ascii="宋体" w:eastAsia="宋体"/>
          <w:sz w:val="24"/>
          <w:szCs w:val="24"/>
        </w:rPr>
      </w:pPr>
      <w:bookmarkStart w:id="51" w:name="_Toc392677043"/>
      <w:bookmarkStart w:id="52" w:name="_Toc409253499"/>
      <w:bookmarkStart w:id="53" w:name="_Toc392868436"/>
      <w:bookmarkStart w:id="54" w:name="_Toc427589070"/>
      <w:r>
        <w:rPr>
          <w:rFonts w:hint="eastAsia" w:ascii="宋体" w:eastAsia="宋体"/>
          <w:sz w:val="24"/>
          <w:szCs w:val="24"/>
        </w:rPr>
        <w:t>通知</w:t>
      </w:r>
      <w:bookmarkEnd w:id="51"/>
      <w:bookmarkEnd w:id="52"/>
      <w:bookmarkEnd w:id="53"/>
      <w:bookmarkEnd w:id="54"/>
    </w:p>
    <w:p>
      <w:pPr>
        <w:tabs>
          <w:tab w:val="left" w:pos="0"/>
        </w:tabs>
        <w:overflowPunct w:val="0"/>
        <w:autoSpaceDE w:val="0"/>
        <w:autoSpaceDN w:val="0"/>
        <w:adjustRightInd w:val="0"/>
        <w:snapToGrid w:val="0"/>
        <w:spacing w:before="156" w:beforeLines="50" w:after="156" w:afterLines="50" w:line="300" w:lineRule="auto"/>
        <w:ind w:firstLine="424" w:firstLineChars="177"/>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任何与本协议有关的由一方发送给其他方的通知或其他通讯往来（</w:t>
      </w:r>
      <w:r>
        <w:rPr>
          <w:rFonts w:ascii="Times New Roman" w:hAnsi="Times New Roman" w:cs="Times New Roman"/>
          <w:kern w:val="0"/>
          <w:sz w:val="24"/>
          <w:szCs w:val="24"/>
        </w:rPr>
        <w:t>“</w:t>
      </w:r>
      <w:r>
        <w:rPr>
          <w:rFonts w:hint="eastAsia" w:ascii="Times New Roman" w:hAnsi="Times New Roman" w:cs="Times New Roman"/>
          <w:kern w:val="0"/>
          <w:sz w:val="24"/>
          <w:szCs w:val="24"/>
        </w:rPr>
        <w:t>通知</w:t>
      </w:r>
      <w:r>
        <w:rPr>
          <w:rFonts w:ascii="Times New Roman" w:hAnsi="Times New Roman" w:cs="Times New Roman"/>
          <w:kern w:val="0"/>
          <w:sz w:val="24"/>
          <w:szCs w:val="24"/>
        </w:rPr>
        <w:t>”</w:t>
      </w:r>
      <w:r>
        <w:rPr>
          <w:rFonts w:hint="eastAsia" w:ascii="Times New Roman" w:hAnsi="Times New Roman" w:cs="Times New Roman"/>
          <w:kern w:val="0"/>
          <w:sz w:val="24"/>
          <w:szCs w:val="24"/>
        </w:rPr>
        <w:t>）应当采用书面形式（包括传真、电子邮件），并按照下列通讯地址或通讯号码送达至被通知人，并注明下列各联系人的姓名方构成一个有效的通知。</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b/>
          <w:kern w:val="0"/>
          <w:sz w:val="24"/>
          <w:szCs w:val="24"/>
        </w:rPr>
      </w:pPr>
      <w:bookmarkStart w:id="55" w:name="_DV_M316"/>
      <w:bookmarkEnd w:id="55"/>
      <w:bookmarkStart w:id="56" w:name="_DV_M315"/>
      <w:bookmarkEnd w:id="56"/>
      <w:r>
        <w:rPr>
          <w:rFonts w:hint="eastAsia" w:ascii="Times New Roman" w:hAnsi="Times New Roman" w:cs="Times New Roman"/>
          <w:b/>
          <w:kern w:val="0"/>
          <w:sz w:val="24"/>
          <w:szCs w:val="24"/>
        </w:rPr>
        <w:t>甲方：</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bookmarkStart w:id="57" w:name="_DV_M317"/>
      <w:bookmarkEnd w:id="57"/>
      <w:r>
        <w:rPr>
          <w:rFonts w:hint="eastAsia" w:ascii="Times New Roman" w:hAnsi="Times New Roman" w:cs="Times New Roman"/>
          <w:kern w:val="0"/>
          <w:sz w:val="24"/>
          <w:szCs w:val="24"/>
        </w:rPr>
        <w:t>通讯地址：</w:t>
      </w:r>
      <w:r>
        <w:rPr>
          <w:rFonts w:hint="eastAsia"/>
          <w:lang w:val="en-US" w:eastAsia="zh-CN"/>
        </w:rPr>
        <w:t>欲与之唯一淘宝店铺，其余均为盗版</w:t>
      </w:r>
      <w:r>
        <w:rPr>
          <w:rFonts w:hint="eastAsia"/>
        </w:rPr>
        <w:t xml:space="preserve">   </w:t>
      </w:r>
      <w:bookmarkStart w:id="72" w:name="_GoBack"/>
      <w:bookmarkEnd w:id="72"/>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bookmarkStart w:id="58" w:name="_DV_M318"/>
      <w:bookmarkEnd w:id="58"/>
      <w:r>
        <w:rPr>
          <w:rFonts w:hint="eastAsia" w:ascii="Times New Roman" w:hAnsi="Times New Roman" w:cs="Times New Roman"/>
          <w:kern w:val="0"/>
          <w:sz w:val="24"/>
          <w:szCs w:val="24"/>
        </w:rPr>
        <w:t>邮政编码：</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bookmarkStart w:id="59" w:name="_DV_M319"/>
      <w:bookmarkEnd w:id="59"/>
      <w:r>
        <w:rPr>
          <w:rFonts w:hint="eastAsia" w:ascii="Times New Roman" w:hAnsi="Times New Roman" w:cs="Times New Roman"/>
          <w:kern w:val="0"/>
          <w:sz w:val="24"/>
          <w:szCs w:val="24"/>
        </w:rPr>
        <w:t>电    话：</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bookmarkStart w:id="60" w:name="_DV_M320"/>
      <w:bookmarkEnd w:id="60"/>
      <w:r>
        <w:rPr>
          <w:rFonts w:hint="eastAsia" w:ascii="Times New Roman" w:hAnsi="Times New Roman" w:cs="Times New Roman"/>
          <w:kern w:val="0"/>
          <w:sz w:val="24"/>
          <w:szCs w:val="24"/>
        </w:rPr>
        <w:t>传    真：</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b/>
          <w:kern w:val="0"/>
          <w:sz w:val="24"/>
          <w:szCs w:val="24"/>
        </w:rPr>
      </w:pPr>
      <w:bookmarkStart w:id="61" w:name="_DV_M323"/>
      <w:bookmarkEnd w:id="61"/>
      <w:bookmarkStart w:id="62" w:name="_DV_M322"/>
      <w:bookmarkEnd w:id="62"/>
      <w:bookmarkStart w:id="63" w:name="_DV_M321"/>
      <w:bookmarkEnd w:id="63"/>
      <w:r>
        <w:rPr>
          <w:rFonts w:hint="eastAsia" w:ascii="Times New Roman" w:hAnsi="Times New Roman" w:cs="Times New Roman"/>
          <w:b/>
          <w:kern w:val="0"/>
          <w:sz w:val="24"/>
          <w:szCs w:val="24"/>
        </w:rPr>
        <w:t>乙方：</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通讯地址：</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邮政编码：</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电</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话：</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传</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真：</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b/>
          <w:kern w:val="0"/>
          <w:sz w:val="24"/>
          <w:szCs w:val="24"/>
        </w:rPr>
      </w:pPr>
      <w:r>
        <w:rPr>
          <w:rFonts w:hint="eastAsia" w:ascii="Times New Roman" w:hAnsi="Times New Roman" w:cs="Times New Roman"/>
          <w:b/>
          <w:kern w:val="0"/>
          <w:sz w:val="24"/>
          <w:szCs w:val="24"/>
        </w:rPr>
        <w:t>丙方1：</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通讯地址：</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邮政编码：</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电</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话：</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传</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真：</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b/>
          <w:kern w:val="0"/>
          <w:sz w:val="24"/>
          <w:szCs w:val="24"/>
        </w:rPr>
      </w:pPr>
      <w:r>
        <w:rPr>
          <w:rFonts w:hint="eastAsia" w:ascii="Times New Roman" w:hAnsi="Times New Roman" w:cs="Times New Roman"/>
          <w:b/>
          <w:kern w:val="0"/>
          <w:sz w:val="24"/>
          <w:szCs w:val="24"/>
        </w:rPr>
        <w:t>丙方2：</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通讯地址：</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邮政编码：</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电</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话：</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传</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真：</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b/>
          <w:kern w:val="0"/>
          <w:sz w:val="24"/>
          <w:szCs w:val="24"/>
        </w:rPr>
      </w:pPr>
      <w:r>
        <w:rPr>
          <w:rFonts w:hint="eastAsia" w:ascii="Times New Roman" w:hAnsi="Times New Roman" w:cs="Times New Roman"/>
          <w:b/>
          <w:kern w:val="0"/>
          <w:sz w:val="24"/>
          <w:szCs w:val="24"/>
        </w:rPr>
        <w:t>丙方3：</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通讯地址：</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邮政编码：</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电</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话：</w:t>
      </w:r>
    </w:p>
    <w:p>
      <w:pPr>
        <w:tabs>
          <w:tab w:val="left" w:pos="0"/>
        </w:tabs>
        <w:overflowPunct w:val="0"/>
        <w:autoSpaceDE w:val="0"/>
        <w:autoSpaceDN w:val="0"/>
        <w:adjustRightInd w:val="0"/>
        <w:snapToGrid w:val="0"/>
        <w:spacing w:before="156" w:beforeLines="50" w:after="156" w:afterLines="50" w:line="300" w:lineRule="auto"/>
        <w:ind w:firstLine="1"/>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传</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真：</w:t>
      </w:r>
    </w:p>
    <w:p>
      <w:pPr>
        <w:tabs>
          <w:tab w:val="left" w:pos="567"/>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cs="Times New Roman"/>
          <w:kern w:val="0"/>
          <w:sz w:val="24"/>
          <w:szCs w:val="24"/>
        </w:rPr>
      </w:pPr>
      <w:r>
        <w:rPr>
          <w:rFonts w:hint="eastAsia" w:ascii="Times New Roman" w:hAnsi="Times New Roman" w:cs="Times New Roman"/>
          <w:kern w:val="0"/>
          <w:sz w:val="24"/>
          <w:szCs w:val="24"/>
        </w:rPr>
        <w:t>若任何一方的上述通讯地址或通讯号码发生变化（以下简称</w:t>
      </w:r>
      <w:r>
        <w:rPr>
          <w:rFonts w:ascii="Times New Roman" w:hAnsi="Times New Roman" w:cs="Times New Roman"/>
          <w:kern w:val="0"/>
          <w:sz w:val="24"/>
          <w:szCs w:val="24"/>
        </w:rPr>
        <w:t>“</w:t>
      </w:r>
      <w:r>
        <w:rPr>
          <w:rFonts w:hint="eastAsia" w:ascii="Times New Roman" w:hAnsi="Times New Roman" w:cs="Times New Roman"/>
          <w:kern w:val="0"/>
          <w:sz w:val="24"/>
          <w:szCs w:val="24"/>
        </w:rPr>
        <w:t>变动方</w:t>
      </w:r>
      <w:r>
        <w:rPr>
          <w:rFonts w:ascii="Times New Roman" w:hAnsi="Times New Roman" w:cs="Times New Roman"/>
          <w:kern w:val="0"/>
          <w:sz w:val="24"/>
          <w:szCs w:val="24"/>
        </w:rPr>
        <w:t>”</w:t>
      </w:r>
      <w:r>
        <w:rPr>
          <w:rFonts w:hint="eastAsia" w:ascii="Times New Roman" w:hAnsi="Times New Roman" w:cs="Times New Roman"/>
          <w:kern w:val="0"/>
          <w:sz w:val="24"/>
          <w:szCs w:val="24"/>
        </w:rPr>
        <w:t>），变动方应当在该变更发生后的七（</w:t>
      </w:r>
      <w:r>
        <w:rPr>
          <w:rFonts w:ascii="Times New Roman" w:hAnsi="Times New Roman" w:cs="Times New Roman"/>
          <w:kern w:val="0"/>
          <w:sz w:val="24"/>
          <w:szCs w:val="24"/>
        </w:rPr>
        <w:t>7</w:t>
      </w:r>
      <w:r>
        <w:rPr>
          <w:rFonts w:hint="eastAsia" w:ascii="Times New Roman" w:hAnsi="Times New Roman" w:cs="Times New Roman"/>
          <w:kern w:val="0"/>
          <w:sz w:val="24"/>
          <w:szCs w:val="24"/>
        </w:rPr>
        <w:t>）日内通知其他方。变动方未按约定及时通知的，变动方应承担由此造成的后果及损失。</w:t>
      </w:r>
    </w:p>
    <w:p>
      <w:pPr>
        <w:pStyle w:val="3"/>
        <w:numPr>
          <w:ilvl w:val="0"/>
          <w:numId w:val="3"/>
        </w:numPr>
        <w:spacing w:before="156" w:beforeLines="50" w:after="156" w:afterLines="50" w:line="300" w:lineRule="auto"/>
        <w:rPr>
          <w:rFonts w:ascii="宋体" w:eastAsia="宋体"/>
          <w:sz w:val="24"/>
          <w:szCs w:val="24"/>
        </w:rPr>
      </w:pPr>
      <w:bookmarkStart w:id="64" w:name="_Toc409253500"/>
      <w:bookmarkStart w:id="65" w:name="_Toc427589071"/>
      <w:bookmarkStart w:id="66" w:name="_Toc392677044"/>
      <w:bookmarkStart w:id="67" w:name="_Toc392868437"/>
      <w:r>
        <w:rPr>
          <w:rFonts w:hint="eastAsia" w:ascii="宋体" w:eastAsia="宋体"/>
          <w:sz w:val="24"/>
          <w:szCs w:val="24"/>
        </w:rPr>
        <w:t>适用法律及争议解决</w:t>
      </w:r>
      <w:bookmarkEnd w:id="64"/>
      <w:bookmarkEnd w:id="65"/>
      <w:bookmarkEnd w:id="66"/>
      <w:bookmarkEnd w:id="67"/>
    </w:p>
    <w:p>
      <w:pPr>
        <w:tabs>
          <w:tab w:val="left" w:pos="567"/>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sz w:val="24"/>
          <w:szCs w:val="24"/>
        </w:rPr>
      </w:pPr>
      <w:r>
        <w:rPr>
          <w:rFonts w:ascii="Times New Roman" w:hAnsi="Times New Roman"/>
          <w:sz w:val="24"/>
          <w:szCs w:val="24"/>
        </w:rPr>
        <w:t>本协议依据中华人民共和国法律起草并接受中华人民共和国法律管辖。</w:t>
      </w:r>
    </w:p>
    <w:p>
      <w:pPr>
        <w:tabs>
          <w:tab w:val="left" w:pos="567"/>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sz w:val="24"/>
          <w:szCs w:val="24"/>
        </w:rPr>
      </w:pPr>
      <w:r>
        <w:rPr>
          <w:rFonts w:hint="eastAsia" w:ascii="Times New Roman" w:hAnsi="Times New Roman"/>
          <w:sz w:val="24"/>
          <w:szCs w:val="24"/>
        </w:rPr>
        <w:t>任何与本协议有关的争议应友好协商解决。协商不能达成一致的，任何一方有权向公司所在地有管辖权的法院提出诉讼。</w:t>
      </w:r>
    </w:p>
    <w:p>
      <w:pPr>
        <w:pStyle w:val="3"/>
        <w:numPr>
          <w:ilvl w:val="0"/>
          <w:numId w:val="3"/>
        </w:numPr>
        <w:spacing w:before="156" w:beforeLines="50" w:after="156" w:afterLines="50" w:line="300" w:lineRule="auto"/>
        <w:rPr>
          <w:rFonts w:ascii="宋体" w:eastAsia="宋体"/>
          <w:sz w:val="24"/>
          <w:szCs w:val="24"/>
        </w:rPr>
      </w:pPr>
      <w:bookmarkStart w:id="68" w:name="_Toc392868438"/>
      <w:bookmarkStart w:id="69" w:name="_Toc392677045"/>
      <w:bookmarkStart w:id="70" w:name="_Toc427589072"/>
      <w:bookmarkStart w:id="71" w:name="_Toc409253501"/>
      <w:r>
        <w:rPr>
          <w:rFonts w:hint="eastAsia" w:ascii="宋体" w:eastAsia="宋体"/>
          <w:sz w:val="24"/>
          <w:szCs w:val="24"/>
        </w:rPr>
        <w:t>份数</w:t>
      </w:r>
      <w:bookmarkEnd w:id="68"/>
      <w:bookmarkEnd w:id="69"/>
      <w:bookmarkEnd w:id="70"/>
      <w:bookmarkEnd w:id="71"/>
    </w:p>
    <w:p>
      <w:pPr>
        <w:tabs>
          <w:tab w:val="left" w:pos="567"/>
        </w:tabs>
        <w:overflowPunct w:val="0"/>
        <w:autoSpaceDE w:val="0"/>
        <w:autoSpaceDN w:val="0"/>
        <w:adjustRightInd w:val="0"/>
        <w:snapToGrid w:val="0"/>
        <w:spacing w:before="156" w:beforeLines="50" w:after="156" w:afterLines="50" w:line="300" w:lineRule="auto"/>
        <w:ind w:firstLine="480" w:firstLineChars="200"/>
        <w:textAlignment w:val="baseline"/>
        <w:rPr>
          <w:rFonts w:ascii="Times New Roman" w:hAnsi="Times New Roman"/>
          <w:sz w:val="24"/>
          <w:szCs w:val="24"/>
        </w:rPr>
      </w:pPr>
      <w:r>
        <w:rPr>
          <w:rFonts w:hint="eastAsia" w:ascii="Times New Roman" w:hAnsi="Times New Roman"/>
          <w:sz w:val="24"/>
          <w:szCs w:val="24"/>
        </w:rPr>
        <w:t>本协议一式【】份，各方各持一份，一份由公司存档，均具有同等法律效力。</w:t>
      </w:r>
    </w:p>
    <w:p>
      <w:pPr>
        <w:widowControl/>
        <w:adjustRightInd w:val="0"/>
        <w:snapToGrid w:val="0"/>
        <w:spacing w:before="156" w:beforeLines="50" w:after="156" w:afterLines="50" w:line="300" w:lineRule="auto"/>
        <w:jc w:val="center"/>
        <w:rPr>
          <w:rFonts w:ascii="Times New Roman" w:hAnsi="Times New Roman"/>
          <w:sz w:val="24"/>
          <w:szCs w:val="24"/>
        </w:rPr>
      </w:pPr>
    </w:p>
    <w:p>
      <w:pPr>
        <w:widowControl/>
        <w:adjustRightInd w:val="0"/>
        <w:snapToGrid w:val="0"/>
        <w:spacing w:before="156" w:beforeLines="50" w:after="156" w:afterLines="50" w:line="300" w:lineRule="auto"/>
        <w:jc w:val="center"/>
        <w:rPr>
          <w:rFonts w:ascii="Times New Roman" w:hAnsi="Times New Roman" w:cs="Times New Roman"/>
          <w:b/>
          <w:kern w:val="0"/>
          <w:sz w:val="24"/>
          <w:szCs w:val="24"/>
        </w:rPr>
      </w:pPr>
      <w:r>
        <w:rPr>
          <w:rFonts w:hint="eastAsia" w:ascii="Times New Roman" w:hAnsi="Times New Roman"/>
          <w:sz w:val="24"/>
          <w:szCs w:val="24"/>
        </w:rPr>
        <w:t>（以下无正文，为</w:t>
      </w:r>
      <w:r>
        <w:rPr>
          <w:rFonts w:ascii="Times New Roman" w:hAnsi="Times New Roman"/>
          <w:sz w:val="24"/>
          <w:szCs w:val="24"/>
        </w:rPr>
        <w:t>《</w:t>
      </w:r>
      <w:r>
        <w:rPr>
          <w:rFonts w:hint="eastAsia" w:ascii="Times New Roman" w:hAnsi="Times New Roman"/>
          <w:sz w:val="24"/>
          <w:szCs w:val="24"/>
        </w:rPr>
        <w:t>【     】有限公司</w:t>
      </w:r>
      <w:r>
        <w:rPr>
          <w:rFonts w:ascii="Times New Roman" w:hAnsi="Times New Roman"/>
          <w:sz w:val="24"/>
          <w:szCs w:val="24"/>
        </w:rPr>
        <w:t>股东协议》</w:t>
      </w:r>
      <w:r>
        <w:rPr>
          <w:rFonts w:hint="eastAsia" w:ascii="Times New Roman" w:hAnsi="Times New Roman"/>
          <w:sz w:val="24"/>
          <w:szCs w:val="24"/>
        </w:rPr>
        <w:t>之</w:t>
      </w:r>
      <w:r>
        <w:rPr>
          <w:rFonts w:ascii="Times New Roman" w:hAnsi="Times New Roman"/>
          <w:sz w:val="24"/>
          <w:szCs w:val="24"/>
        </w:rPr>
        <w:t>签字部分</w:t>
      </w:r>
      <w:r>
        <w:rPr>
          <w:rFonts w:hint="eastAsia" w:ascii="Times New Roman" w:hAnsi="Times New Roman"/>
          <w:sz w:val="24"/>
          <w:szCs w:val="24"/>
        </w:rPr>
        <w:t>）</w:t>
      </w:r>
    </w:p>
    <w:p>
      <w:pPr>
        <w:widowControl/>
        <w:adjustRightInd w:val="0"/>
        <w:snapToGrid w:val="0"/>
        <w:spacing w:before="156" w:beforeLines="50" w:after="156" w:afterLines="50" w:line="300" w:lineRule="auto"/>
        <w:jc w:val="left"/>
        <w:rPr>
          <w:rFonts w:ascii="Times New Roman" w:hAnsi="Times New Roman" w:cs="Times New Roman"/>
          <w:b/>
          <w:bCs/>
          <w:sz w:val="24"/>
          <w:szCs w:val="24"/>
        </w:rPr>
      </w:pPr>
    </w:p>
    <w:p>
      <w:pPr>
        <w:widowControl/>
        <w:adjustRightInd w:val="0"/>
        <w:snapToGrid w:val="0"/>
        <w:spacing w:before="156" w:beforeLines="50" w:after="156" w:afterLines="50" w:line="300" w:lineRule="auto"/>
        <w:jc w:val="left"/>
        <w:rPr>
          <w:rFonts w:ascii="Times New Roman" w:hAnsi="Times New Roman" w:cs="Times New Roman"/>
          <w:b/>
          <w:bCs/>
          <w:sz w:val="24"/>
          <w:szCs w:val="24"/>
        </w:rPr>
      </w:pP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hint="eastAsia" w:ascii="Times New Roman" w:hAnsi="Times New Roman" w:cs="Times New Roman"/>
          <w:b/>
          <w:bCs/>
          <w:sz w:val="24"/>
          <w:szCs w:val="24"/>
        </w:rPr>
        <w:t>甲方（</w:t>
      </w:r>
      <w:r>
        <w:rPr>
          <w:rFonts w:ascii="Times New Roman" w:hAnsi="Times New Roman" w:cs="Times New Roman"/>
          <w:b/>
          <w:bCs/>
          <w:sz w:val="24"/>
          <w:szCs w:val="24"/>
        </w:rPr>
        <w:t>签章</w:t>
      </w:r>
      <w:r>
        <w:rPr>
          <w:rFonts w:hint="eastAsia" w:ascii="Times New Roman" w:hAnsi="Times New Roman" w:cs="Times New Roman"/>
          <w:b/>
          <w:bCs/>
          <w:sz w:val="24"/>
          <w:szCs w:val="24"/>
        </w:rPr>
        <w:t>）</w:t>
      </w:r>
      <w:r>
        <w:rPr>
          <w:rFonts w:ascii="Times New Roman" w:hAnsi="Times New Roman" w:cs="Times New Roman"/>
          <w:b/>
          <w:kern w:val="0"/>
          <w:sz w:val="24"/>
          <w:szCs w:val="24"/>
        </w:rPr>
        <w:t>：</w: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hint="eastAsia" w:ascii="Times New Roman" w:hAnsi="Times New Roman" w:cs="Times New Roman"/>
          <w:b/>
          <w:kern w:val="0"/>
          <w:sz w:val="24"/>
          <w:szCs w:val="24"/>
        </w:rPr>
        <w:t>：</w: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154305</wp:posOffset>
                </wp:positionV>
                <wp:extent cx="3819525" cy="635"/>
                <wp:effectExtent l="0" t="0" r="0" b="0"/>
                <wp:wrapNone/>
                <wp:docPr id="3" name="直线箭头连接符 1"/>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线箭头连接符 1" o:spid="_x0000_s1026" o:spt="32" type="#_x0000_t32" style="position:absolute;left:0pt;margin-left:2.25pt;margin-top:12.15pt;height:0.05pt;width:300.75pt;z-index:251658240;mso-width-relative:page;mso-height-relative:page;" filled="f" stroked="t" coordsize="21600,21600" o:gfxdata="UEsDBAoAAAAAAIdO4kAAAAAAAAAAAAAAAAAEAAAAZHJzL1BLAwQUAAAACACHTuJA58w9gNYAAAAH&#10;AQAADwAAAGRycy9kb3ducmV2LnhtbE2PwU7DMBBE70j8g7VIXBC1E9KoDXEqhMSBI20lrm68JIF4&#10;HcVOU/r1bE/0ODujmbfl5uR6ccQxdJ40JAsFAqn2tqNGw3739rgCEaIha3pPqOEXA2yq25vSFNbP&#10;9IHHbWwEl1AojIY2xqGQMtQtOhMWfkBi78uPzkSWYyPtaGYud71MlcqlMx3xQmsGfG2x/tlOTgOG&#10;aZmol7Vr9u/n+eEzPX/Pw07r+7tEPYOIeIr/YbjgMzpUzHTwE9kgeg3ZkoMa0uwJBNu5yvm1w+WQ&#10;gaxKec1f/QFQSwMEFAAAAAgAh07iQMwu+3DqAQAArgMAAA4AAABkcnMvZTJvRG9jLnhtbK1TzY7T&#10;MBC+I/EOlu80TauulqjpHlqWC4JKwANMbSex5D/ZpmlfghdA4gScgNOe9rJPA+UxduxmywIXhMjB&#10;mbFnvpnv83h+sdOKbIUP0pqalqMxJcIwy6Vpa/r61eWjc0pCBMNBWSNquheBXiwePpj3rhIT21nF&#10;hScIYkLVu5p2MbqqKALrhIYwsk4YPGys1xDR9W3BPfSIrlUxGY/Pit567rxlIgTcXR0P6SLjN41g&#10;8UXTBBGJqin2FvPq87pJa7GYQ9V6cJ1kQxvwD11okAaLnqBWEIG88fIPKC2Zt8E2ccSsLmzTSCYy&#10;B2RTjn9j87IDJzIXFCe4k0zh/8Gy59u1J5LXdEqJAY1XdHh3dbi+OXz98u3D1Y+b99/ffjx8/kTK&#10;JFXvQoUZS7P2gxfc2ifeu8br9EdGZJfl3Z/kFbtIGG5Oz8vHs8mMEoZnZ9NZQix+pjof4lNhNUlG&#10;TUP0INsuLq0xeI3Wl1lg2D4L8Zh4l5DqKkP6mg7wgIPUKIhYSTukFkybc4NVkl9KpVJG8O1mqTzZ&#10;QhqN/A0N/RKWiqwgdMe4fJTCoOoE8CeGk7h3KJrB6aapBS04JUrgY0hWjowg1d9EohbKJGiRB3fg&#10;mTQ/qpysjeX7LH6RPByKLOEwwGnq7vto339mi1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zD2A&#10;1gAAAAcBAAAPAAAAAAAAAAEAIAAAACIAAABkcnMvZG93bnJldi54bWxQSwECFAAUAAAACACHTuJA&#10;zC77cOoBAACuAwAADgAAAAAAAAABACAAAAAlAQAAZHJzL2Uyb0RvYy54bWxQSwUGAAAAAAYABgBZ&#10;AQAAgQUAAAAA&#10;">
                <v:fill on="f" focussize="0,0"/>
                <v:stroke color="#000000" joinstyle="round"/>
                <v:imagedata o:title=""/>
                <o:lock v:ext="edit" aspectratio="f"/>
              </v:shape>
            </w:pict>
          </mc:Fallback>
        </mc:AlternateConten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p>
    <w:p>
      <w:pPr>
        <w:widowControl/>
        <w:adjustRightInd w:val="0"/>
        <w:snapToGrid w:val="0"/>
        <w:spacing w:before="156" w:beforeLines="50" w:after="156" w:afterLines="50" w:line="300" w:lineRule="auto"/>
        <w:jc w:val="left"/>
        <w:rPr>
          <w:rFonts w:ascii="Times New Roman" w:hAnsi="Times New Roman" w:cs="Times New Roman"/>
          <w:b/>
          <w:bCs/>
          <w:sz w:val="24"/>
          <w:szCs w:val="24"/>
        </w:rPr>
      </w:pPr>
      <w:r>
        <w:rPr>
          <w:rFonts w:hint="eastAsia" w:ascii="Times New Roman" w:hAnsi="Times New Roman" w:cs="Times New Roman"/>
          <w:b/>
          <w:bCs/>
          <w:sz w:val="24"/>
          <w:szCs w:val="24"/>
        </w:rPr>
        <w:t>乙方（</w:t>
      </w:r>
      <w:r>
        <w:rPr>
          <w:rFonts w:ascii="Times New Roman" w:hAnsi="Times New Roman" w:cs="Times New Roman"/>
          <w:b/>
          <w:bCs/>
          <w:sz w:val="24"/>
          <w:szCs w:val="24"/>
        </w:rPr>
        <w:t>签章</w:t>
      </w:r>
      <w:r>
        <w:rPr>
          <w:rFonts w:hint="eastAsia" w:ascii="Times New Roman" w:hAnsi="Times New Roman" w:cs="Times New Roman"/>
          <w:b/>
          <w:bCs/>
          <w:sz w:val="24"/>
          <w:szCs w:val="24"/>
        </w:rPr>
        <w:t>）</w:t>
      </w:r>
      <w:r>
        <w:rPr>
          <w:rFonts w:ascii="Times New Roman" w:hAnsi="Times New Roman" w:cs="Times New Roman"/>
          <w:b/>
          <w:bCs/>
          <w:sz w:val="24"/>
          <w:szCs w:val="24"/>
        </w:rPr>
        <w:t>：</w:t>
      </w:r>
    </w:p>
    <w:p>
      <w:pPr>
        <w:widowControl/>
        <w:adjustRightInd w:val="0"/>
        <w:snapToGrid w:val="0"/>
        <w:spacing w:before="156" w:beforeLines="50" w:after="156" w:afterLines="50" w:line="300" w:lineRule="auto"/>
        <w:jc w:val="left"/>
        <w:rPr>
          <w:rFonts w:ascii="Times New Roman" w:hAnsi="Times New Roman" w:cs="Times New Roman"/>
          <w:b/>
          <w:bCs/>
          <w:sz w:val="24"/>
          <w:szCs w:val="24"/>
        </w:rPr>
      </w:pPr>
      <w:r>
        <w:rPr>
          <w:rFonts w:ascii="Times New Roman" w:hAnsi="Times New Roman" w:cs="Times New Roman"/>
          <w:b/>
          <w:bCs/>
          <w:sz w:val="24"/>
          <w:szCs w:val="24"/>
        </w:rPr>
        <w:t>日期</w:t>
      </w:r>
      <w:r>
        <w:rPr>
          <w:rFonts w:hint="eastAsia" w:ascii="Times New Roman" w:hAnsi="Times New Roman" w:cs="Times New Roman"/>
          <w:b/>
          <w:bCs/>
          <w:sz w:val="24"/>
          <w:szCs w:val="24"/>
        </w:rPr>
        <w:t>：</w: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ascii="Times New Roman" w:hAnsi="Times New Roman" w:cs="Times New Roman"/>
          <w:b/>
          <w:bCs/>
          <w:sz w:val="24"/>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161290</wp:posOffset>
                </wp:positionV>
                <wp:extent cx="3924300" cy="635"/>
                <wp:effectExtent l="0" t="0" r="0" b="0"/>
                <wp:wrapNone/>
                <wp:docPr id="4" name="直线箭头连接符 2"/>
                <wp:cNvGraphicFramePr/>
                <a:graphic xmlns:a="http://schemas.openxmlformats.org/drawingml/2006/main">
                  <a:graphicData uri="http://schemas.microsoft.com/office/word/2010/wordprocessingShape">
                    <wps:wsp>
                      <wps:cNvCnPr/>
                      <wps:spPr>
                        <a:xfrm>
                          <a:off x="0" y="0"/>
                          <a:ext cx="392430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线箭头连接符 2" o:spid="_x0000_s1026" o:spt="32" type="#_x0000_t32" style="position:absolute;left:0pt;margin-left:2.25pt;margin-top:12.7pt;height:0.05pt;width:309pt;z-index:251658240;mso-width-relative:page;mso-height-relative:page;" filled="f" stroked="t" coordsize="21600,21600" o:gfxdata="UEsDBAoAAAAAAIdO4kAAAAAAAAAAAAAAAAAEAAAAZHJzL1BLAwQUAAAACACHTuJAt3XtIdQAAAAH&#10;AQAADwAAAGRycy9kb3ducmV2LnhtbE2OzU7DMBCE70i8g7VIXBC1YzUVpHEqhMSBI20lrm68TQLx&#10;OoqdpvTp2Z7gOD+a+crN2ffihGPsAhnIFgoEUh1cR42B/e7t8QlETJac7QOhgR+MsKlub0pbuDDT&#10;B562qRE8QrGwBtqUhkLKWLfobVyEAYmzYxi9TSzHRrrRzjzue6mVWklvO+KH1g742mL9vZ28AYxT&#10;nqmXZ9/s3y/zw6e+fM3Dzpj7u0ytQSQ8p78yXPEZHSpmOoSJXBS9gWXORQM6X4LgeKU1G4erkYOs&#10;Svmfv/oFUEsDBBQAAAAIAIdO4kCqZXkD7QEAAK4DAAAOAAAAZHJzL2Uyb0RvYy54bWytU82O0zAQ&#10;viPxDpbvNGm7XbFR0z20LBcElYAHmNpOYsl/sk3TvgQvgMQJOMGe9sRlnwbKYzB2Q1ngghA5ODOe&#10;mc/zfR7PL3daka3wQVpT0/GopEQYZrk0bU1fvrh68JCSEMFwUNaImu5FoJeL+/fmvavExHZWceEJ&#10;gphQ9a6mXYyuKorAOqEhjKwTBoON9Roiur4tuIce0bUqJmV5XvTWc+ctEyHg7uoYpIuM3zSCxWdN&#10;E0QkqqbYW8yrz+smrcViDlXrwXWSDW3AP3ShQRo89AS1ggjklZd/QGnJvA22iSNmdWGbRjKROSCb&#10;cfkbm+cdOJG5oDjBnWQK/w+WPd2uPZG8pmeUGNB4RYc3N4fPt4frT1/e3Xy7ffv19fvDxw9kkqTq&#10;XaiwYmnWfvCCW/vEe9d4nf7IiOyyvPuTvGIXCcPN6cXkbFriLTCMnU9nCbH4Wep8iI+F1SQZNQ3R&#10;g2y7uLTG4DVaP84Cw/ZJiMfCHwXpXGVIX9OL2WSG8ICD1CiIaGqH1IJpc22wSvIrqVSqCL7dLJUn&#10;W0ijkb+hoV/S0iErCN0xL4dSGlSdAP7IcBL3DkUzON00taAFp0QJfAzJypkRpPqbTNRCmQQt8uAO&#10;PJPmR5WTtbF8n8UvkodDkSUcBjhN3V0f7bvPbP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3Xt&#10;IdQAAAAHAQAADwAAAAAAAAABACAAAAAiAAAAZHJzL2Rvd25yZXYueG1sUEsBAhQAFAAAAAgAh07i&#10;QKpleQPtAQAArgMAAA4AAAAAAAAAAQAgAAAAIwEAAGRycy9lMm9Eb2MueG1sUEsFBgAAAAAGAAYA&#10;WQEAAIIFAAAAAA==&#10;">
                <v:fill on="f" focussize="0,0"/>
                <v:stroke color="#000000" joinstyle="round"/>
                <v:imagedata o:title=""/>
                <o:lock v:ext="edit" aspectratio="f"/>
              </v:shape>
            </w:pict>
          </mc:Fallback>
        </mc:AlternateContent>
      </w:r>
    </w:p>
    <w:p>
      <w:pPr>
        <w:widowControl/>
        <w:adjustRightInd w:val="0"/>
        <w:snapToGrid w:val="0"/>
        <w:spacing w:before="156" w:beforeLines="50" w:after="156" w:afterLines="50" w:line="300" w:lineRule="auto"/>
        <w:jc w:val="left"/>
        <w:rPr>
          <w:rFonts w:ascii="Times New Roman" w:hAnsi="Times New Roman" w:cs="Times New Roman"/>
          <w:b/>
          <w:bCs/>
          <w:sz w:val="24"/>
          <w:szCs w:val="24"/>
        </w:rPr>
      </w:pP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hint="eastAsia" w:ascii="Times New Roman" w:hAnsi="Times New Roman" w:cs="Times New Roman"/>
          <w:b/>
          <w:bCs/>
          <w:sz w:val="24"/>
          <w:szCs w:val="24"/>
        </w:rPr>
        <w:t>丙方（</w:t>
      </w:r>
      <w:r>
        <w:rPr>
          <w:rFonts w:ascii="Times New Roman" w:hAnsi="Times New Roman" w:cs="Times New Roman"/>
          <w:b/>
          <w:bCs/>
          <w:sz w:val="24"/>
          <w:szCs w:val="24"/>
        </w:rPr>
        <w:t>签章</w:t>
      </w:r>
      <w:r>
        <w:rPr>
          <w:rFonts w:hint="eastAsia" w:ascii="Times New Roman" w:hAnsi="Times New Roman" w:cs="Times New Roman"/>
          <w:b/>
          <w:bCs/>
          <w:sz w:val="24"/>
          <w:szCs w:val="24"/>
        </w:rPr>
        <w:t>）</w:t>
      </w:r>
      <w:r>
        <w:rPr>
          <w:rFonts w:ascii="Times New Roman" w:hAnsi="Times New Roman" w:cs="Times New Roman"/>
          <w:b/>
          <w:kern w:val="0"/>
          <w:sz w:val="24"/>
          <w:szCs w:val="24"/>
        </w:rPr>
        <w:t>：</w: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w:t>日期</w:t>
      </w:r>
      <w:r>
        <w:rPr>
          <w:rFonts w:hint="eastAsia" w:ascii="Times New Roman" w:hAnsi="Times New Roman" w:cs="Times New Roman"/>
          <w:b/>
          <w:kern w:val="0"/>
          <w:sz w:val="24"/>
          <w:szCs w:val="24"/>
        </w:rPr>
        <w:t>：</w:t>
      </w:r>
    </w:p>
    <w:p>
      <w:pPr>
        <w:widowControl/>
        <w:adjustRightInd w:val="0"/>
        <w:snapToGrid w:val="0"/>
        <w:spacing w:before="156" w:beforeLines="50" w:after="156" w:afterLines="50" w:line="300" w:lineRule="auto"/>
        <w:jc w:val="left"/>
        <w:rPr>
          <w:rFonts w:ascii="Times New Roman" w:hAnsi="Times New Roman" w:cs="Times New Roman"/>
          <w:b/>
          <w:kern w:val="0"/>
          <w:sz w:val="24"/>
          <w:szCs w:val="24"/>
        </w:rPr>
      </w:pPr>
      <w:r>
        <w:rPr>
          <w:rFonts w:ascii="Times New Roman" w:hAnsi="Times New Roman" w:cs="Times New Roman"/>
          <w:b/>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154305</wp:posOffset>
                </wp:positionV>
                <wp:extent cx="38195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25pt;margin-top:12.15pt;height:0.05pt;width:300.75pt;z-index:251659264;mso-width-relative:page;mso-height-relative:page;" filled="f" stroked="t" coordsize="21600,21600" o:gfxdata="UEsDBAoAAAAAAIdO4kAAAAAAAAAAAAAAAAAEAAAAZHJzL1BLAwQUAAAACACHTuJA58w9gNYAAAAH&#10;AQAADwAAAGRycy9kb3ducmV2LnhtbE2PwU7DMBBE70j8g7VIXBC1E9KoDXEqhMSBI20lrm68JIF4&#10;HcVOU/r1bE/0ODujmbfl5uR6ccQxdJ40JAsFAqn2tqNGw3739rgCEaIha3pPqOEXA2yq25vSFNbP&#10;9IHHbWwEl1AojIY2xqGQMtQtOhMWfkBi78uPzkSWYyPtaGYud71MlcqlMx3xQmsGfG2x/tlOTgOG&#10;aZmol7Vr9u/n+eEzPX/Pw07r+7tEPYOIeIr/YbjgMzpUzHTwE9kgeg3ZkoMa0uwJBNu5yvm1w+WQ&#10;gaxKec1f/QFQSwMEFAAAAAgAh07iQDcZfJTnAQAArgMAAA4AAABkcnMvZTJvRG9jLnhtbK1TS44T&#10;MRDdI3EHy3vSSUYZDa10ZpEwbBBEAg5Qsd3dlvyTy6STS3ABJFbACljNfk4DwzEoOyEMsEGIXrir&#10;XK5X9Z7L88udNWyrImrvGj4ZjTlTTnipXdfwly+uHlxwhgmcBOOdavheIb9c3L83H0Ktpr73RqrI&#10;CMRhPYSG9ymFuqpQ9MoCjnxQjoKtjxYSubGrZISB0K2ppuPxeTX4KEP0QiHS7uoQ5IuC37ZKpGdt&#10;iyox03DqLZU1lnWT12oxh7qLEHotjm3AP3RhQTsqeoJaQQL2Kuo/oKwW0aNv00h4W/m21UIVDsRm&#10;Mv6NzfMegipcSBwMJ5nw/8GKp9t1ZFo2fMaZA0tXdPvm+uvr97efP315d/3t5m22P35gsyzVELCm&#10;jKVbx6OHYR0z710bbf4TI7Yr8u5P8qpdYoI2zy4mD2dTqiModn5WEKufqSFieqy8ZdloOKYIuuvT&#10;0jtH1+jjpAgM2yeYqDgl/kjIdY1jQ8OP8ECD1BpIVMkGooauK7nojZZX2picgbHbLE1kW8ijUb5M&#10;kXB/OZaLrAD7w7kSOgxNr0A+cpKlfSDRHE03zy1YJTkzih5DtggQ6gTa/M1JKm1cTlBlcI88s+YH&#10;lbO18XJfxK+yR0NROj4OcJ66uz7Zd5/Z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zD2A1gAA&#10;AAcBAAAPAAAAAAAAAAEAIAAAACIAAABkcnMvZG93bnJldi54bWxQSwECFAAUAAAACACHTuJANxl8&#10;lOcBAACuAwAADgAAAAAAAAABACAAAAAlAQAAZHJzL2Uyb0RvYy54bWxQSwUGAAAAAAYABgBZAQAA&#10;fgUAAAAA&#10;">
                <v:fill on="f" focussize="0,0"/>
                <v:stroke color="#000000" joinstyle="round"/>
                <v:imagedata o:title=""/>
                <o:lock v:ext="edit" aspectratio="f"/>
              </v:shape>
            </w:pict>
          </mc:Fallback>
        </mc:AlternateContent>
      </w:r>
    </w:p>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sectPr>
      <w:footerReference r:id="rId10" w:type="first"/>
      <w:footerReference r:id="rId9"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2555" cy="146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58240;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hJDVEhACAAAFBAAADgAAAGRycy9lMm9Eb2MueG1srVPLjtMwFN0j&#10;8Q+W9zRtoSOmajoqMypCqpiRCmLtOnYTyS/ZbpPyAfAHrNiw57v6HRy7TYfXCrFxbnyf59zj2U2n&#10;FdkLHxprSjoaDCkRhtuqMduSvn+3fPaSkhCZqZiyRpT0IAK9mT99MmvdVIxtbVUlPEERE6atK2kd&#10;o5sWReC10CwMrBMGTmm9ZhG/fltUnrWorlUxHg6vitb6ynnLRQi4vTs56TzXl1LweC9lEJGokmK2&#10;mE+fz006i/mMTbeeubrh5zHYP0yhWWPQ9FLqjkVGdr75o5RuuLfByjjgVhdWyoaLjAFoRsPf0Kxr&#10;5kTGAnKCu9AU/l9Z/nb/4ElTlfSaEsM0VnT88vn49fvx2ydynehpXZgiau0QF7tXtsOa+/uAy4S6&#10;k16nL/AQ+EH04UKu6CLhKWk8nkwmlHC4Ri+uhpNMfvGY7HyIr4XVJBkl9dhdppTtVyFiEIT2IamX&#10;sctGqbw/ZUhb0qvnKPmLBxnKIDFBOI2arNhtujOuja0OgOXtSRfB8WWD5isW4gPzEAKQQNzxHodU&#10;Fk3s2aKktv7j3+5TPPYDLyUthFVSA+VTot4Y7C1psDd8b2x6w+z0rYVSR3g0jmcTCT6q3pTe6g9Q&#10;/CL1gIsZjk4ljb15G0/ixovhYrHIQVCaY3Fl1o6n0omi4Ba7CAIzr4mUExNnrqC1TPf5XSQx//yf&#10;ox5f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9FbTNIAAAADAQAADwAAAAAAAAABACAAAAAi&#10;AAAAZHJzL2Rvd25yZXYueG1sUEsBAhQAFAAAAAgAh07iQISQ1RIQAgAABQQAAA4AAAAAAAAAAQAg&#10;AAAAIQEAAGRycy9lMm9Eb2MueG1sUEsFBgAAAAAGAAYAWQEAAK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G+gQJEAIAAAYEAAAOAAAAZHJzL2Uyb0RvYy54bWytU0uOEzEQ3SNx&#10;B8t70skwZFCUzijMKAgpYkYKiLXjdict2S7LdtIdDgA3YMWGPeeac/DspDP8VoiNu7qq/Krq1fP0&#10;ujOa7ZUPDdmSjwZDzpSVVDV2U/L37xbPXnIWorCV0GRVyQ8q8OvZ0yfT1k3UBW1JV8ozgNgwaV3J&#10;tzG6SVEEuVVGhAE5ZRGsyRsR8es3ReVFC3Sji4vhcFy05CvnSaoQ4L09Bvks49e1kvGuroOKTJcc&#10;vcV8+nyu01nMpmKy8cJtG3lqQ/xDF0Y0FkXPULciCrbzzR9QppGeAtVxIMkUVNeNVHkGTDMa/jbN&#10;aiucyrOAnODONIX/Byvf7u89ayrsDvRYYbCjhy+fH75+f/j2icEHgloXJshbOWTG7hV1SO79Ac40&#10;d1d7k76YiCEOrMOZXtVFJuEcX15dISARGV2Ohy8yePF41/kQXysyLBkl91he5lTslyGiD6T2KamU&#10;pUWjdV6gtqwF/nNA/hLBDW1xMU1w7DRZsVt3p7HWVB0wlaejMIKTiwbFlyLEe+GhBPQLdcc7HLUm&#10;FKGTxdmW/Me/+VM+FoQoZy2UVXIL6XOm31gsDoCxN3xvrHvD7swNQaojvBons4kLPurerD2ZD5D8&#10;PNVASFiJSiWPvXkTj+rGk5FqPs9JkJoTcWlXTiboRFFw810EgZnXRMqRiRNXEFum+/Qwkpp//s9Z&#10;j8939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RvoECRACAAAGBAAADgAAAAAAAAABACAA&#10;AAAg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股东协议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ED1"/>
    <w:multiLevelType w:val="multilevel"/>
    <w:tmpl w:val="100C4ED1"/>
    <w:lvl w:ilvl="0" w:tentative="0">
      <w:start w:val="1"/>
      <w:numFmt w:val="chineseCountingThousand"/>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C79A3"/>
    <w:multiLevelType w:val="singleLevel"/>
    <w:tmpl w:val="56FC79A3"/>
    <w:lvl w:ilvl="0" w:tentative="0">
      <w:start w:val="2"/>
      <w:numFmt w:val="decimal"/>
      <w:suff w:val="space"/>
      <w:lvlText w:val="%1."/>
      <w:lvlJc w:val="left"/>
    </w:lvl>
  </w:abstractNum>
  <w:abstractNum w:abstractNumId="2">
    <w:nsid w:val="571E4FF3"/>
    <w:multiLevelType w:val="multilevel"/>
    <w:tmpl w:val="571E4FF3"/>
    <w:lvl w:ilvl="0" w:tentative="0">
      <w:start w:val="1"/>
      <w:numFmt w:val="japaneseCounting"/>
      <w:lvlText w:val="第%1章"/>
      <w:lvlJc w:val="left"/>
      <w:pPr>
        <w:tabs>
          <w:tab w:val="left" w:pos="0"/>
        </w:tabs>
        <w:ind w:left="420" w:hanging="420"/>
      </w:pPr>
      <w:rPr>
        <w:rFonts w:hint="default"/>
        <w:b/>
      </w:rPr>
    </w:lvl>
    <w:lvl w:ilvl="1" w:tentative="0">
      <w:start w:val="1"/>
      <w:numFmt w:val="decimal"/>
      <w:lvlText w:val="（%2）"/>
      <w:lvlJc w:val="left"/>
      <w:pPr>
        <w:ind w:left="1140" w:hanging="720"/>
      </w:pPr>
      <w:rPr>
        <w:rFonts w:ascii="Times New Roman" w:hAnsi="Times New Roman" w:eastAsia="宋体" w:cs="Times New Roman"/>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69187DB0"/>
    <w:multiLevelType w:val="multilevel"/>
    <w:tmpl w:val="69187DB0"/>
    <w:lvl w:ilvl="0" w:tentative="0">
      <w:start w:val="1"/>
      <w:numFmt w:val="chineseCountingThousand"/>
      <w:lvlText w:val="第%1条"/>
      <w:lvlJc w:val="left"/>
      <w:pPr>
        <w:tabs>
          <w:tab w:val="left" w:pos="0"/>
        </w:tabs>
        <w:ind w:left="420" w:hanging="420"/>
      </w:pPr>
      <w:rPr>
        <w:rFonts w:hint="eastAsia" w:ascii="宋体" w:hAnsi="宋体" w:eastAsia="宋体"/>
        <w:b/>
      </w:rPr>
    </w:lvl>
    <w:lvl w:ilvl="1" w:tentative="0">
      <w:start w:val="1"/>
      <w:numFmt w:val="decimal"/>
      <w:lvlText w:val="%2．"/>
      <w:lvlJc w:val="left"/>
      <w:pPr>
        <w:ind w:left="780" w:hanging="360"/>
      </w:pPr>
      <w:rPr>
        <w:rFonts w:hint="default"/>
        <w:color w:val="auto"/>
      </w:rPr>
    </w:lvl>
    <w:lvl w:ilvl="2" w:tentative="0">
      <w:start w:val="1"/>
      <w:numFmt w:val="decimal"/>
      <w:lvlText w:val="(%3)"/>
      <w:lvlJc w:val="left"/>
      <w:pPr>
        <w:ind w:left="1200" w:hanging="360"/>
      </w:pPr>
      <w:rPr>
        <w:rFonts w:hint="default"/>
        <w:color w:val="000000"/>
      </w:rPr>
    </w:lvl>
    <w:lvl w:ilvl="3" w:tentative="0">
      <w:start w:val="1"/>
      <w:numFmt w:val="decimal"/>
      <w:lvlText w:val="（%4）"/>
      <w:lvlJc w:val="left"/>
      <w:pPr>
        <w:ind w:left="1980" w:hanging="720"/>
      </w:pPr>
      <w:rPr>
        <w:rFonts w:hint="default"/>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718E17E5"/>
    <w:multiLevelType w:val="multilevel"/>
    <w:tmpl w:val="718E17E5"/>
    <w:lvl w:ilvl="0" w:tentative="0">
      <w:start w:val="1"/>
      <w:numFmt w:val="chineseCountingThousand"/>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2A547D"/>
    <w:multiLevelType w:val="multilevel"/>
    <w:tmpl w:val="772A547D"/>
    <w:lvl w:ilvl="0" w:tentative="0">
      <w:start w:val="1"/>
      <w:numFmt w:val="decimal"/>
      <w:lvlText w:val="(%1)"/>
      <w:lvlJc w:val="left"/>
      <w:pPr>
        <w:tabs>
          <w:tab w:val="left" w:pos="567"/>
        </w:tabs>
        <w:ind w:left="0" w:firstLine="0"/>
      </w:pPr>
      <w:rPr>
        <w:rFonts w:hint="default" w:ascii="Times New Roman" w:hAnsi="Times New Roman" w:cs="Times New Roman"/>
        <w:b w:val="0"/>
        <w:sz w:val="24"/>
        <w:szCs w:val="24"/>
      </w:rPr>
    </w:lvl>
    <w:lvl w:ilvl="1" w:tentative="0">
      <w:start w:val="3"/>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D"/>
    <w:rsid w:val="00001DDF"/>
    <w:rsid w:val="00002555"/>
    <w:rsid w:val="00030E4E"/>
    <w:rsid w:val="00040C57"/>
    <w:rsid w:val="00073BFD"/>
    <w:rsid w:val="0008050B"/>
    <w:rsid w:val="00085D16"/>
    <w:rsid w:val="00085E9F"/>
    <w:rsid w:val="000B19DB"/>
    <w:rsid w:val="000B76CC"/>
    <w:rsid w:val="000B7CA8"/>
    <w:rsid w:val="000C5D30"/>
    <w:rsid w:val="000D1B24"/>
    <w:rsid w:val="000E0617"/>
    <w:rsid w:val="00121606"/>
    <w:rsid w:val="0014779E"/>
    <w:rsid w:val="00156996"/>
    <w:rsid w:val="0016347B"/>
    <w:rsid w:val="001A646C"/>
    <w:rsid w:val="001A7786"/>
    <w:rsid w:val="001B79BC"/>
    <w:rsid w:val="001C7C69"/>
    <w:rsid w:val="001D19B2"/>
    <w:rsid w:val="002007FB"/>
    <w:rsid w:val="0021601A"/>
    <w:rsid w:val="0024474F"/>
    <w:rsid w:val="002542DB"/>
    <w:rsid w:val="0027697B"/>
    <w:rsid w:val="002A77D2"/>
    <w:rsid w:val="002B68A4"/>
    <w:rsid w:val="002E51F9"/>
    <w:rsid w:val="002F13BC"/>
    <w:rsid w:val="00320B5B"/>
    <w:rsid w:val="00323E04"/>
    <w:rsid w:val="00324255"/>
    <w:rsid w:val="00333E6D"/>
    <w:rsid w:val="0034552A"/>
    <w:rsid w:val="00357BEC"/>
    <w:rsid w:val="00363026"/>
    <w:rsid w:val="003661CB"/>
    <w:rsid w:val="00397FB1"/>
    <w:rsid w:val="003A604F"/>
    <w:rsid w:val="003D4B53"/>
    <w:rsid w:val="00403877"/>
    <w:rsid w:val="004059E7"/>
    <w:rsid w:val="00413A4B"/>
    <w:rsid w:val="004167C7"/>
    <w:rsid w:val="00417DD8"/>
    <w:rsid w:val="004327DA"/>
    <w:rsid w:val="00433C84"/>
    <w:rsid w:val="00445B76"/>
    <w:rsid w:val="00467B1F"/>
    <w:rsid w:val="00477E2E"/>
    <w:rsid w:val="0049642A"/>
    <w:rsid w:val="004A7408"/>
    <w:rsid w:val="004E2E8E"/>
    <w:rsid w:val="004F34A6"/>
    <w:rsid w:val="00506DC9"/>
    <w:rsid w:val="005220EF"/>
    <w:rsid w:val="00522398"/>
    <w:rsid w:val="0052436F"/>
    <w:rsid w:val="00530475"/>
    <w:rsid w:val="00555DBE"/>
    <w:rsid w:val="0056401D"/>
    <w:rsid w:val="00580648"/>
    <w:rsid w:val="005907CD"/>
    <w:rsid w:val="00597130"/>
    <w:rsid w:val="005C3517"/>
    <w:rsid w:val="005D6144"/>
    <w:rsid w:val="005D63C8"/>
    <w:rsid w:val="005D7243"/>
    <w:rsid w:val="005E77B8"/>
    <w:rsid w:val="00621ED0"/>
    <w:rsid w:val="00636FA0"/>
    <w:rsid w:val="00642993"/>
    <w:rsid w:val="0065763F"/>
    <w:rsid w:val="006B2014"/>
    <w:rsid w:val="006D46FC"/>
    <w:rsid w:val="006E2F00"/>
    <w:rsid w:val="007078E2"/>
    <w:rsid w:val="007221AF"/>
    <w:rsid w:val="00764B24"/>
    <w:rsid w:val="007A6D80"/>
    <w:rsid w:val="007D64D7"/>
    <w:rsid w:val="007F5406"/>
    <w:rsid w:val="008245D6"/>
    <w:rsid w:val="00837375"/>
    <w:rsid w:val="00855C5F"/>
    <w:rsid w:val="008652F9"/>
    <w:rsid w:val="008660BD"/>
    <w:rsid w:val="00871266"/>
    <w:rsid w:val="008837C9"/>
    <w:rsid w:val="008A1228"/>
    <w:rsid w:val="008A6E39"/>
    <w:rsid w:val="008D7067"/>
    <w:rsid w:val="00905F76"/>
    <w:rsid w:val="00933743"/>
    <w:rsid w:val="00991693"/>
    <w:rsid w:val="00995165"/>
    <w:rsid w:val="0099642C"/>
    <w:rsid w:val="009A44DD"/>
    <w:rsid w:val="009C57C0"/>
    <w:rsid w:val="009C5F96"/>
    <w:rsid w:val="009C7670"/>
    <w:rsid w:val="009E7C28"/>
    <w:rsid w:val="009F4B1F"/>
    <w:rsid w:val="009F69A1"/>
    <w:rsid w:val="00A12966"/>
    <w:rsid w:val="00A16883"/>
    <w:rsid w:val="00A35D90"/>
    <w:rsid w:val="00A55765"/>
    <w:rsid w:val="00A57426"/>
    <w:rsid w:val="00A83286"/>
    <w:rsid w:val="00A860D7"/>
    <w:rsid w:val="00AB4765"/>
    <w:rsid w:val="00AE1B09"/>
    <w:rsid w:val="00AF46FE"/>
    <w:rsid w:val="00B02DB9"/>
    <w:rsid w:val="00B171C7"/>
    <w:rsid w:val="00B368F6"/>
    <w:rsid w:val="00B527D1"/>
    <w:rsid w:val="00B6192D"/>
    <w:rsid w:val="00B72506"/>
    <w:rsid w:val="00B82467"/>
    <w:rsid w:val="00BE2564"/>
    <w:rsid w:val="00C168B8"/>
    <w:rsid w:val="00C16C32"/>
    <w:rsid w:val="00C46593"/>
    <w:rsid w:val="00C61D7D"/>
    <w:rsid w:val="00C72A59"/>
    <w:rsid w:val="00C80CB2"/>
    <w:rsid w:val="00CA655B"/>
    <w:rsid w:val="00CB1DB8"/>
    <w:rsid w:val="00CB6486"/>
    <w:rsid w:val="00CF6CBB"/>
    <w:rsid w:val="00D34ECC"/>
    <w:rsid w:val="00D76EE8"/>
    <w:rsid w:val="00D83838"/>
    <w:rsid w:val="00D83941"/>
    <w:rsid w:val="00D8624B"/>
    <w:rsid w:val="00DB2DF0"/>
    <w:rsid w:val="00DB4803"/>
    <w:rsid w:val="00DF0312"/>
    <w:rsid w:val="00E05046"/>
    <w:rsid w:val="00E148AA"/>
    <w:rsid w:val="00E16CDA"/>
    <w:rsid w:val="00E534BB"/>
    <w:rsid w:val="00E55BEF"/>
    <w:rsid w:val="00E55C45"/>
    <w:rsid w:val="00E7406D"/>
    <w:rsid w:val="00EA0255"/>
    <w:rsid w:val="00EA5158"/>
    <w:rsid w:val="00EC099E"/>
    <w:rsid w:val="00ED541E"/>
    <w:rsid w:val="00EE773A"/>
    <w:rsid w:val="00F126FA"/>
    <w:rsid w:val="00F13880"/>
    <w:rsid w:val="00F23896"/>
    <w:rsid w:val="00F724DF"/>
    <w:rsid w:val="00F929B1"/>
    <w:rsid w:val="00F94033"/>
    <w:rsid w:val="00FD5779"/>
    <w:rsid w:val="00FE0767"/>
    <w:rsid w:val="00FF1706"/>
    <w:rsid w:val="00FF679A"/>
    <w:rsid w:val="00FF77C2"/>
    <w:rsid w:val="01D45D8F"/>
    <w:rsid w:val="03660724"/>
    <w:rsid w:val="03F82211"/>
    <w:rsid w:val="040205A2"/>
    <w:rsid w:val="07246EC6"/>
    <w:rsid w:val="081F03E2"/>
    <w:rsid w:val="08B275D1"/>
    <w:rsid w:val="09BF208D"/>
    <w:rsid w:val="0B0A682C"/>
    <w:rsid w:val="0CC57C5C"/>
    <w:rsid w:val="0D0E4978"/>
    <w:rsid w:val="0E53178C"/>
    <w:rsid w:val="0E7A4ECE"/>
    <w:rsid w:val="0F442399"/>
    <w:rsid w:val="128959F9"/>
    <w:rsid w:val="14CA034A"/>
    <w:rsid w:val="14E70D5B"/>
    <w:rsid w:val="17411E34"/>
    <w:rsid w:val="1A624C5A"/>
    <w:rsid w:val="1E464BBA"/>
    <w:rsid w:val="1F081A2C"/>
    <w:rsid w:val="1FC93A32"/>
    <w:rsid w:val="22A266DE"/>
    <w:rsid w:val="23EC0C7E"/>
    <w:rsid w:val="250A7DD1"/>
    <w:rsid w:val="2678382B"/>
    <w:rsid w:val="274A1985"/>
    <w:rsid w:val="27D24D61"/>
    <w:rsid w:val="2845181D"/>
    <w:rsid w:val="29252190"/>
    <w:rsid w:val="29F205DF"/>
    <w:rsid w:val="2A4312E2"/>
    <w:rsid w:val="2A7A5040"/>
    <w:rsid w:val="2C4C4F3B"/>
    <w:rsid w:val="2DD611BE"/>
    <w:rsid w:val="31102C0A"/>
    <w:rsid w:val="314F5F72"/>
    <w:rsid w:val="32DF3206"/>
    <w:rsid w:val="354B460C"/>
    <w:rsid w:val="35A0080B"/>
    <w:rsid w:val="37FD59AC"/>
    <w:rsid w:val="38FD240B"/>
    <w:rsid w:val="398A6B77"/>
    <w:rsid w:val="3DF21F2E"/>
    <w:rsid w:val="3E661EED"/>
    <w:rsid w:val="41336B88"/>
    <w:rsid w:val="42274E97"/>
    <w:rsid w:val="4339041A"/>
    <w:rsid w:val="43AC0516"/>
    <w:rsid w:val="444824ED"/>
    <w:rsid w:val="453A6A23"/>
    <w:rsid w:val="45D1241A"/>
    <w:rsid w:val="46C277A4"/>
    <w:rsid w:val="46F337F6"/>
    <w:rsid w:val="47560017"/>
    <w:rsid w:val="48885E0A"/>
    <w:rsid w:val="49D74833"/>
    <w:rsid w:val="4BD023EF"/>
    <w:rsid w:val="4D627302"/>
    <w:rsid w:val="504F0C4F"/>
    <w:rsid w:val="51122012"/>
    <w:rsid w:val="51FA450E"/>
    <w:rsid w:val="528775F5"/>
    <w:rsid w:val="53A17D41"/>
    <w:rsid w:val="53E762B8"/>
    <w:rsid w:val="54B05D00"/>
    <w:rsid w:val="58A423FE"/>
    <w:rsid w:val="59F27B21"/>
    <w:rsid w:val="5A2921FA"/>
    <w:rsid w:val="5A720457"/>
    <w:rsid w:val="5AAF3758"/>
    <w:rsid w:val="5B3A7AB8"/>
    <w:rsid w:val="5D261BE2"/>
    <w:rsid w:val="5DB46EC8"/>
    <w:rsid w:val="5E2A018B"/>
    <w:rsid w:val="5F0842F6"/>
    <w:rsid w:val="5FF94F03"/>
    <w:rsid w:val="60335FE2"/>
    <w:rsid w:val="613D6494"/>
    <w:rsid w:val="61724770"/>
    <w:rsid w:val="61FB33CF"/>
    <w:rsid w:val="62C60519"/>
    <w:rsid w:val="62CB0224"/>
    <w:rsid w:val="630C0FC0"/>
    <w:rsid w:val="67806F5E"/>
    <w:rsid w:val="67B63BB5"/>
    <w:rsid w:val="687419EA"/>
    <w:rsid w:val="69154DF6"/>
    <w:rsid w:val="696370F4"/>
    <w:rsid w:val="6CC92C88"/>
    <w:rsid w:val="6E337CDC"/>
    <w:rsid w:val="6E586C17"/>
    <w:rsid w:val="71205DA5"/>
    <w:rsid w:val="738E71A4"/>
    <w:rsid w:val="751524A3"/>
    <w:rsid w:val="76CD17F4"/>
    <w:rsid w:val="7870376D"/>
    <w:rsid w:val="787C3AB9"/>
    <w:rsid w:val="7CA52C0F"/>
    <w:rsid w:val="7DDF1692"/>
    <w:rsid w:val="7E42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8"/>
    <w:qFormat/>
    <w:uiPriority w:val="0"/>
    <w:pPr>
      <w:keepNext/>
      <w:keepLines/>
      <w:overflowPunct w:val="0"/>
      <w:autoSpaceDE w:val="0"/>
      <w:autoSpaceDN w:val="0"/>
      <w:adjustRightInd w:val="0"/>
      <w:spacing w:before="260" w:after="260" w:line="412" w:lineRule="auto"/>
      <w:textAlignment w:val="baseline"/>
      <w:outlineLvl w:val="1"/>
    </w:pPr>
    <w:rPr>
      <w:rFonts w:ascii="Arial" w:hAnsi="Arial" w:eastAsia="黑体" w:cs="Times New Roman"/>
      <w:b/>
      <w:bCs/>
      <w:kern w:val="0"/>
      <w:sz w:val="32"/>
      <w:szCs w:val="32"/>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1"/>
    <w:unhideWhenUsed/>
    <w:qFormat/>
    <w:uiPriority w:val="99"/>
    <w:rPr>
      <w:rFonts w:cs="黑体"/>
      <w:b/>
      <w:bCs/>
    </w:rPr>
  </w:style>
  <w:style w:type="paragraph" w:styleId="5">
    <w:name w:val="annotation text"/>
    <w:basedOn w:val="1"/>
    <w:link w:val="19"/>
    <w:qFormat/>
    <w:uiPriority w:val="0"/>
    <w:pPr>
      <w:jc w:val="left"/>
    </w:pPr>
    <w:rPr>
      <w:rFonts w:cs="Times New Roman"/>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等线" w:cs="Times New Roman"/>
      <w:kern w:val="0"/>
      <w:sz w:val="24"/>
      <w:szCs w:val="24"/>
    </w:rPr>
  </w:style>
  <w:style w:type="character" w:styleId="11">
    <w:name w:val="annotation reference"/>
    <w:qFormat/>
    <w:uiPriority w:val="0"/>
    <w:rPr>
      <w:sz w:val="21"/>
      <w:szCs w:val="21"/>
    </w:rPr>
  </w:style>
  <w:style w:type="paragraph" w:customStyle="1" w:styleId="13">
    <w:name w:val="列出段落11"/>
    <w:basedOn w:val="1"/>
    <w:qFormat/>
    <w:uiPriority w:val="0"/>
    <w:pPr>
      <w:ind w:firstLine="200" w:firstLineChars="200"/>
    </w:pPr>
    <w:rPr>
      <w:rFonts w:cs="Times New Roman"/>
    </w:rPr>
  </w:style>
  <w:style w:type="paragraph" w:customStyle="1" w:styleId="14">
    <w:name w:val="浅色网格 - 强调文字颜色 31"/>
    <w:basedOn w:val="1"/>
    <w:qFormat/>
    <w:uiPriority w:val="0"/>
    <w:pPr>
      <w:ind w:firstLine="200" w:firstLineChars="200"/>
    </w:pPr>
  </w:style>
  <w:style w:type="character" w:customStyle="1" w:styleId="15">
    <w:name w:val="页眉 字符"/>
    <w:basedOn w:val="10"/>
    <w:link w:val="8"/>
    <w:semiHidden/>
    <w:qFormat/>
    <w:uiPriority w:val="99"/>
    <w:rPr>
      <w:sz w:val="18"/>
      <w:szCs w:val="18"/>
    </w:rPr>
  </w:style>
  <w:style w:type="character" w:customStyle="1" w:styleId="16">
    <w:name w:val="页脚 字符"/>
    <w:basedOn w:val="10"/>
    <w:link w:val="7"/>
    <w:qFormat/>
    <w:uiPriority w:val="0"/>
    <w:rPr>
      <w:sz w:val="18"/>
      <w:szCs w:val="18"/>
    </w:rPr>
  </w:style>
  <w:style w:type="character" w:customStyle="1" w:styleId="17">
    <w:name w:val="标题 1 字符"/>
    <w:basedOn w:val="10"/>
    <w:link w:val="2"/>
    <w:qFormat/>
    <w:uiPriority w:val="0"/>
    <w:rPr>
      <w:rFonts w:ascii="Calibri" w:hAnsi="Calibri" w:eastAsia="宋体" w:cs="Times New Roman"/>
      <w:b/>
      <w:bCs/>
      <w:kern w:val="44"/>
      <w:sz w:val="44"/>
      <w:szCs w:val="44"/>
    </w:rPr>
  </w:style>
  <w:style w:type="character" w:customStyle="1" w:styleId="18">
    <w:name w:val="标题 2 字符"/>
    <w:basedOn w:val="10"/>
    <w:link w:val="3"/>
    <w:qFormat/>
    <w:uiPriority w:val="0"/>
    <w:rPr>
      <w:rFonts w:ascii="Arial" w:hAnsi="Arial" w:eastAsia="黑体" w:cs="Times New Roman"/>
      <w:b/>
      <w:bCs/>
      <w:kern w:val="0"/>
      <w:sz w:val="32"/>
      <w:szCs w:val="32"/>
    </w:rPr>
  </w:style>
  <w:style w:type="character" w:customStyle="1" w:styleId="19">
    <w:name w:val="批注文字 字符"/>
    <w:basedOn w:val="10"/>
    <w:link w:val="5"/>
    <w:qFormat/>
    <w:uiPriority w:val="0"/>
    <w:rPr>
      <w:rFonts w:ascii="Calibri" w:hAnsi="Calibri" w:eastAsia="宋体" w:cs="Times New Roman"/>
    </w:rPr>
  </w:style>
  <w:style w:type="character" w:customStyle="1" w:styleId="20">
    <w:name w:val="批注框文本 字符"/>
    <w:basedOn w:val="10"/>
    <w:link w:val="6"/>
    <w:semiHidden/>
    <w:qFormat/>
    <w:uiPriority w:val="99"/>
    <w:rPr>
      <w:rFonts w:ascii="Calibri" w:hAnsi="Calibri" w:eastAsia="宋体" w:cs="黑体"/>
      <w:sz w:val="18"/>
      <w:szCs w:val="18"/>
    </w:rPr>
  </w:style>
  <w:style w:type="character" w:customStyle="1" w:styleId="21">
    <w:name w:val="批注主题 字符"/>
    <w:basedOn w:val="19"/>
    <w:link w:val="4"/>
    <w:semiHidden/>
    <w:qFormat/>
    <w:uiPriority w:val="99"/>
    <w:rPr>
      <w:rFonts w:ascii="Calibri" w:hAnsi="Calibri" w:eastAsia="宋体"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697</Words>
  <Characters>3973</Characters>
  <Lines>33</Lines>
  <Paragraphs>9</Paragraphs>
  <TotalTime>0</TotalTime>
  <ScaleCrop>false</ScaleCrop>
  <LinksUpToDate>false</LinksUpToDate>
  <CharactersWithSpaces>4661</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2016-04-05T07:10:00Z</dcterms:created>
  <dc:creator>qinjie12345</dc:creator>
  <cp:lastModifiedBy>wo</cp:lastModifiedBy>
  <dcterms:modified xsi:type="dcterms:W3CDTF">2017-09-13T14:55:12Z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