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自动售货机销售合同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甲方（供货单位）_______________________________________（以下简称甲方）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乙方（采购单位）_______________________________________（以下简称乙方）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根据国家法律规定，甲乙双方本着互惠互利、共同发展的原则，经平等协商，双方就乙方向甲方购买自动售货机系列产品有关事宜，达成以下合同条款，以供双方共同遵守：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一、合同所涉采购设备基本情况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乙方向甲方所采购自动售货机型号为【            】，配置情况见表！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6"/>
        <w:gridCol w:w="1950"/>
        <w:gridCol w:w="795"/>
        <w:gridCol w:w="1215"/>
        <w:gridCol w:w="1065"/>
        <w:gridCol w:w="763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货到配置说明</w:t>
            </w:r>
          </w:p>
        </w:tc>
        <w:tc>
          <w:tcPr>
            <w:tcW w:w="79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颜色</w:t>
            </w:r>
          </w:p>
        </w:tc>
        <w:tc>
          <w:tcPr>
            <w:tcW w:w="121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0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单价（¥）</w:t>
            </w:r>
          </w:p>
        </w:tc>
        <w:tc>
          <w:tcPr>
            <w:tcW w:w="7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2" w:hRule="atLeast"/>
        </w:trPr>
        <w:tc>
          <w:tcPr>
            <w:tcW w:w="15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自动售货机</w:t>
            </w:r>
          </w:p>
        </w:tc>
        <w:tc>
          <w:tcPr>
            <w:tcW w:w="19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15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特殊需求备注</w:t>
            </w:r>
          </w:p>
        </w:tc>
        <w:tc>
          <w:tcPr>
            <w:tcW w:w="7006" w:type="dxa"/>
            <w:gridSpan w:val="6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516" w:type="dxa"/>
            <w:vAlign w:val="center"/>
          </w:tcPr>
          <w:p>
            <w:pPr>
              <w:numPr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合计：</w:t>
            </w:r>
          </w:p>
        </w:tc>
        <w:tc>
          <w:tcPr>
            <w:tcW w:w="7006" w:type="dxa"/>
            <w:gridSpan w:val="6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7" w:hRule="atLeast"/>
        </w:trPr>
        <w:tc>
          <w:tcPr>
            <w:tcW w:w="1516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7006" w:type="dxa"/>
            <w:gridSpan w:val="6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交货地点及双方指定收发货人信息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甲方公司指定发货人（         ）联系人方式（           ）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乙方指定（            ）为交货地点，收货人：（          ），收货人联系方式：（           ）；如果双方指定联系人和地点发生变化，则应第一时间书面更新给对方，如由于更新不及时造成损失的，由过失方承担相应损失。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运输</w:t>
      </w:r>
    </w:p>
    <w:p>
      <w:pPr>
        <w:numPr>
          <w:ilvl w:val="0"/>
          <w:numId w:val="3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乙方自提的，在甲方仓库由乙方指定专人签收，乙方签收人需携带企业授权证明文件。</w:t>
      </w:r>
    </w:p>
    <w:p>
      <w:pPr>
        <w:numPr>
          <w:ilvl w:val="0"/>
          <w:numId w:val="3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甲方负责运输的，由甲方委托承运商运至乙方指定的收货地点；运输费用的承担：运输费、运输保险费由__________承担（不包含卸货）。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产品交付及验收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产品到后，乙方应立即验货，确认无误后由乙方指定的收货人在收货单上签字。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对于有明显外部损失的货物，乙方有权当场拒收并通知甲方，货到24小时内，乙方有权通报甲方货物损伤，逾期乙方将不再承担相关责任。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五、产品质量保证及售后服务</w:t>
      </w:r>
    </w:p>
    <w:p>
      <w:pPr>
        <w:numPr>
          <w:ilvl w:val="0"/>
          <w:numId w:val="4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甲方负责乙方所购产品在符合操作规程的情况下整机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壹年 </w:t>
      </w:r>
      <w:r>
        <w:rPr>
          <w:rFonts w:hint="eastAsia"/>
          <w:lang w:val="en-US" w:eastAsia="zh-CN"/>
        </w:rPr>
        <w:t>的保修期，零配件本身质量问题免费更换（以旧换新）。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保修期内，若产品发生故障，乙方指定的产品维护人员应及时沟通联系甲方售后部工作人员，且根据甲方售后部工作人员的指导去排除故障。下列情况本公司将收取成本费：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乙方购买产品后，因错误操作而造成的零件损坏；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非甲方或甲方授权人员错误安装、替换或不正确的安装而损坏；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由乙方运输不当造成的损坏；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塑料件、玻璃门、荧光灯、防水件等易损件的损坏。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若乙方在甲方技术人员远程指导下还无法解决问题的，则由甲方派人上门维护。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保修期后，乙方要求甲方技术人员上门的，甲方需向乙方收取甲方技术人员来回路费、住宿费及更换零配件的成本费用（实报实销）。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六、货款的支付</w:t>
      </w:r>
    </w:p>
    <w:p>
      <w:pPr>
        <w:numPr>
          <w:ilvl w:val="0"/>
          <w:numId w:val="6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在本合同签订时，乙方将定金【        】，即人民币（大写）【             】元整（小写           元整），以电汇方式支付至乙方指定账户，发货前付清尾款，即人民币（大写）【               】元整（小写         元整），乙方通知物流放货。</w:t>
      </w:r>
    </w:p>
    <w:p>
      <w:pPr>
        <w:numPr>
          <w:ilvl w:val="0"/>
          <w:numId w:val="6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首次制作样机，需支付样机开发费，即人民币（大写）【          】（小写      元整）。若订购该机数量达到50台时，样机开发费返还；该机单价改为人民币（大写）【            】元整（小写          元整），乙方在30个工作日内，返还该机差价，即每台人民币（大写）【             】元整（小写         元整）。</w:t>
      </w:r>
    </w:p>
    <w:p>
      <w:pPr>
        <w:numPr>
          <w:ilvl w:val="0"/>
          <w:numId w:val="6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甲方未按本合同约定足额付款，或因甲方要求更改设计时，甲方的交货时间将相应顺延。</w:t>
      </w:r>
    </w:p>
    <w:p>
      <w:pPr>
        <w:numPr>
          <w:ilvl w:val="0"/>
          <w:numId w:val="6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在乙方未付清全部货款之前，甲方交付乙方的产品的所有权属于甲方，直至乙方付清全部货款为止。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7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知识产权及其他约定</w:t>
      </w:r>
    </w:p>
    <w:p>
      <w:pPr>
        <w:numPr>
          <w:ilvl w:val="0"/>
          <w:numId w:val="8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甲方承诺所产生的设备、产品符合国家法律、法规所规定的质量要求。</w:t>
      </w:r>
    </w:p>
    <w:p>
      <w:pPr>
        <w:numPr>
          <w:ilvl w:val="0"/>
          <w:numId w:val="8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如因乙方违规操作或保养不及时等原因对第三方造成伤害的，甲方不承担相关责任。</w:t>
      </w:r>
    </w:p>
    <w:p>
      <w:pPr>
        <w:numPr>
          <w:ilvl w:val="0"/>
          <w:numId w:val="8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甲方销售的设备内归属甲方的知识产权不随本机销售而改变所有权。</w:t>
      </w:r>
    </w:p>
    <w:p>
      <w:pPr>
        <w:numPr>
          <w:ilvl w:val="0"/>
          <w:numId w:val="8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乙方使用所购设备开展经营时需要严格遵守国家法律法规、不得利用产品从事非法活动，否则一切后果由乙方自负。</w:t>
      </w:r>
    </w:p>
    <w:p>
      <w:pPr>
        <w:numPr>
          <w:ilvl w:val="0"/>
          <w:numId w:val="8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乙方所购设备，如需进行改装或维修，应及时联系甲方，否则引起的纠纷由乙方承担，与甲方无关。</w:t>
      </w:r>
    </w:p>
    <w:p>
      <w:pPr>
        <w:numPr>
          <w:ilvl w:val="0"/>
          <w:numId w:val="8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甲方向乙方提供的产品或货物，如涉及第三方知识产权纠纷的，由甲方负责沟通协调，乙方不得以此要求退货或补偿。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不可抗力及免责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不可抗力是指无法预见且超出一方合理控制的事件，包括但不限于自然力、自然灾害、劳工纠纷、战争或类似战争状态、暴乱、阴谋损坏、火灾及政府行为或系统（含第三方）服务器瘫痪、灾难等。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何一方由于受到双方所约定的不可抗力事件的影响，部分或全部不能履行本协议项下的责任及义务，将不构成违约，该义务的履行在不可抗力事件妨碍其履行期间应予终止。不可抗力事件或其影响终止或消除后，双方须立即恢复履行各自在本协议项下的各项义务。如不可抗力事件及其影响持续30天以上并且致使协议任何一方丧失继续履行本协议的能力，则任何一方有权决定解除本协议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保密条款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本协议有效期内及协议终止或者解除后，双方承诺不向任意第三方企业、商业机构或者组织提供有关合同任意一方的业务、技术等一切相关信息或者资料。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争议解决</w:t>
      </w:r>
    </w:p>
    <w:p>
      <w:pPr>
        <w:numPr>
          <w:ilvl w:val="0"/>
          <w:numId w:val="9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甲、乙双方应积极互相配合工作，以避免对双方的正常业务产生不利影响。如一方违反本协议规定，应视为违约，另一方有权解除本协议，并由违约方承担违约赔偿责任。</w:t>
      </w:r>
    </w:p>
    <w:p>
      <w:pPr>
        <w:numPr>
          <w:ilvl w:val="0"/>
          <w:numId w:val="9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如果双方就本协议内容或其执行发生任何争议，双方应进行良好协商，协商不成时，任何一方均可向合同签订所在地（         ）提起诉讼。</w:t>
      </w:r>
    </w:p>
    <w:p>
      <w:pPr>
        <w:numPr>
          <w:ilvl w:val="0"/>
          <w:numId w:val="9"/>
        </w:numPr>
        <w:tabs>
          <w:tab w:val="clear" w:pos="312"/>
        </w:tabs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本协议的订立，执行和解释及争议的解决均应适用中华人民共和国法律，本合同附件作为合同重要组成部分与合同本身一样均具备法律效应。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甲方：（盖章）                                    乙方：（盖章）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法定代表人或授权人：                             法定代表人或授权人：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                                         联系人：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                                           电话：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传真：                                           传真：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                                           地址：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附件：为最大的限度延长设备适用寿命和减少故障和风险，乙方有义务定期开展以下设备维护工作：</w:t>
      </w:r>
    </w:p>
    <w:p>
      <w:pPr>
        <w:widowControl w:val="0"/>
        <w:numPr>
          <w:ilvl w:val="0"/>
          <w:numId w:val="1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日常维护内容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保持机器表面清洁；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检查按键，退币钮是否正常（不具备此配置机型除外）；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检查硬币、货物是否充足（不具备此配置机型除外）；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检查制冷系统是否工作正常（不具备此配置机型除外）。</w:t>
      </w:r>
    </w:p>
    <w:p>
      <w:pPr>
        <w:widowControl w:val="0"/>
        <w:numPr>
          <w:ilvl w:val="0"/>
          <w:numId w:val="10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月维护内容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门锁、机械部件、齿轮的润滑；</w:t>
      </w:r>
    </w:p>
    <w:p>
      <w:pPr>
        <w:widowControl w:val="0"/>
        <w:numPr>
          <w:ilvl w:val="0"/>
          <w:numId w:val="12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检查紧固件是否松动。</w:t>
      </w:r>
    </w:p>
    <w:p>
      <w:pPr>
        <w:widowControl w:val="0"/>
        <w:numPr>
          <w:ilvl w:val="0"/>
          <w:numId w:val="10"/>
        </w:numPr>
        <w:tabs>
          <w:tab w:val="clear" w:pos="312"/>
        </w:tabs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年维护内容</w:t>
      </w:r>
    </w:p>
    <w:p>
      <w:pPr>
        <w:widowControl w:val="0"/>
        <w:numPr>
          <w:ilvl w:val="0"/>
          <w:numId w:val="13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每年应对制冷机散热器进行清洗（不具备此配置机型除外）；</w:t>
      </w:r>
    </w:p>
    <w:p>
      <w:pPr>
        <w:widowControl w:val="0"/>
        <w:numPr>
          <w:ilvl w:val="0"/>
          <w:numId w:val="13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每年应对机器进行整体调试；</w:t>
      </w:r>
    </w:p>
    <w:p>
      <w:pPr>
        <w:widowControl w:val="0"/>
        <w:numPr>
          <w:ilvl w:val="0"/>
          <w:numId w:val="13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每年应对电路控制板进行测试。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7ED5E"/>
    <w:multiLevelType w:val="singleLevel"/>
    <w:tmpl w:val="A3C7E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74F424"/>
    <w:multiLevelType w:val="singleLevel"/>
    <w:tmpl w:val="A474F4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3655AE"/>
    <w:multiLevelType w:val="singleLevel"/>
    <w:tmpl w:val="AE3655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23D2799"/>
    <w:multiLevelType w:val="singleLevel"/>
    <w:tmpl w:val="B23D279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D391790A"/>
    <w:multiLevelType w:val="singleLevel"/>
    <w:tmpl w:val="D391790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E038020F"/>
    <w:multiLevelType w:val="singleLevel"/>
    <w:tmpl w:val="E038020F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E3F493E1"/>
    <w:multiLevelType w:val="singleLevel"/>
    <w:tmpl w:val="E3F493E1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EB553347"/>
    <w:multiLevelType w:val="singleLevel"/>
    <w:tmpl w:val="EB55334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0E05E610"/>
    <w:multiLevelType w:val="singleLevel"/>
    <w:tmpl w:val="0E05E6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D2C374D"/>
    <w:multiLevelType w:val="singleLevel"/>
    <w:tmpl w:val="1D2C37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F364120"/>
    <w:multiLevelType w:val="singleLevel"/>
    <w:tmpl w:val="2F3641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2A7B2DC"/>
    <w:multiLevelType w:val="singleLevel"/>
    <w:tmpl w:val="32A7B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8715A22"/>
    <w:multiLevelType w:val="singleLevel"/>
    <w:tmpl w:val="58715A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378CD"/>
    <w:rsid w:val="0B9F2D6E"/>
    <w:rsid w:val="2E6A3531"/>
    <w:rsid w:val="359706B3"/>
    <w:rsid w:val="38F66634"/>
    <w:rsid w:val="39D5681D"/>
    <w:rsid w:val="3B6378CD"/>
    <w:rsid w:val="3BB91C7C"/>
    <w:rsid w:val="621F08E5"/>
    <w:rsid w:val="674A1264"/>
    <w:rsid w:val="6D535020"/>
    <w:rsid w:val="6E8B617F"/>
    <w:rsid w:val="70264D79"/>
    <w:rsid w:val="77E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zhiwe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2018-08-30T01:40:00Z</dcterms:created>
  <dc:creator>Miffy。</dc:creator>
  <cp:lastModifiedBy>Miffy。</cp:lastModifiedBy>
  <dcterms:modified xsi:type="dcterms:W3CDTF">2018-08-30T02:58:29Z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