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36"/>
          <w:szCs w:val="36"/>
        </w:rPr>
      </w:pPr>
      <w:r>
        <w:rPr>
          <w:rFonts w:eastAsia="华文细黑"/>
          <w:b/>
          <w:sz w:val="36"/>
          <w:szCs w:val="36"/>
        </w:rPr>
        <w:t>关于</w:t>
      </w:r>
    </w:p>
    <w:p>
      <w:pPr>
        <w:pStyle w:val="14"/>
        <w:snapToGrid w:val="0"/>
        <w:spacing w:after="0" w:line="240" w:lineRule="auto"/>
        <w:rPr>
          <w:rFonts w:eastAsia="华文细黑"/>
          <w:b/>
          <w:sz w:val="36"/>
          <w:szCs w:val="36"/>
        </w:rPr>
      </w:pPr>
    </w:p>
    <w:p>
      <w:pPr>
        <w:pStyle w:val="14"/>
        <w:snapToGrid w:val="0"/>
        <w:spacing w:after="0" w:line="240" w:lineRule="auto"/>
        <w:rPr>
          <w:rFonts w:eastAsia="华文细黑"/>
          <w:b/>
          <w:sz w:val="36"/>
          <w:szCs w:val="36"/>
        </w:rPr>
      </w:pPr>
      <w:r>
        <w:rPr>
          <w:rFonts w:hint="eastAsia" w:eastAsia="华文细黑"/>
          <w:b/>
          <w:sz w:val="36"/>
          <w:szCs w:val="36"/>
          <w:u w:val="single"/>
        </w:rPr>
        <w:t xml:space="preserve">             </w:t>
      </w:r>
      <w:r>
        <w:rPr>
          <w:rFonts w:eastAsia="华文细黑"/>
          <w:b/>
          <w:sz w:val="36"/>
          <w:szCs w:val="36"/>
        </w:rPr>
        <w:t>有限公司</w:t>
      </w: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36"/>
          <w:szCs w:val="36"/>
        </w:rPr>
      </w:pPr>
      <w:r>
        <w:rPr>
          <w:rFonts w:eastAsia="华文细黑"/>
          <w:b/>
          <w:sz w:val="36"/>
          <w:szCs w:val="36"/>
        </w:rPr>
        <w:t>之</w:t>
      </w:r>
    </w:p>
    <w:p>
      <w:pPr>
        <w:pStyle w:val="14"/>
        <w:snapToGrid w:val="0"/>
        <w:spacing w:after="0" w:line="240" w:lineRule="auto"/>
        <w:rPr>
          <w:rFonts w:eastAsia="华文细黑"/>
          <w:b/>
          <w:sz w:val="84"/>
          <w:szCs w:val="84"/>
        </w:rPr>
      </w:pPr>
    </w:p>
    <w:p>
      <w:pPr>
        <w:pStyle w:val="13"/>
        <w:pBdr>
          <w:top w:val="double" w:color="auto" w:sz="4" w:space="0"/>
        </w:pBdr>
        <w:snapToGrid w:val="0"/>
        <w:spacing w:before="0" w:after="0" w:line="240" w:lineRule="auto"/>
        <w:rPr>
          <w:rFonts w:eastAsia="华文细黑"/>
        </w:rPr>
      </w:pPr>
    </w:p>
    <w:p>
      <w:pPr>
        <w:pStyle w:val="14"/>
        <w:snapToGrid w:val="0"/>
        <w:spacing w:after="0" w:line="240" w:lineRule="auto"/>
        <w:rPr>
          <w:rFonts w:eastAsia="华文细黑"/>
          <w:b/>
          <w:bCs/>
          <w:sz w:val="50"/>
          <w:szCs w:val="50"/>
        </w:rPr>
      </w:pPr>
      <w:r>
        <w:rPr>
          <w:rFonts w:hint="eastAsia" w:eastAsia="华文细黑"/>
          <w:b/>
          <w:bCs/>
          <w:sz w:val="50"/>
          <w:szCs w:val="50"/>
        </w:rPr>
        <w:t>投资</w:t>
      </w:r>
      <w:r>
        <w:rPr>
          <w:rFonts w:eastAsia="华文细黑"/>
          <w:b/>
          <w:bCs/>
          <w:sz w:val="50"/>
          <w:szCs w:val="50"/>
        </w:rPr>
        <w:t>协议</w:t>
      </w:r>
      <w:r>
        <w:rPr>
          <w:rFonts w:hint="eastAsia" w:eastAsia="华文细黑"/>
          <w:b/>
          <w:bCs/>
          <w:sz w:val="50"/>
          <w:szCs w:val="50"/>
        </w:rPr>
        <w:t>之补充协议书</w:t>
      </w:r>
    </w:p>
    <w:p>
      <w:pPr>
        <w:pStyle w:val="14"/>
        <w:pBdr>
          <w:bottom w:val="double" w:color="auto" w:sz="4" w:space="1"/>
        </w:pBdr>
        <w:snapToGrid w:val="0"/>
        <w:spacing w:after="0" w:line="240" w:lineRule="auto"/>
        <w:rPr>
          <w:rFonts w:eastAsia="华文细黑"/>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sz w:val="84"/>
          <w:szCs w:val="84"/>
        </w:rPr>
      </w:pPr>
    </w:p>
    <w:p>
      <w:pPr>
        <w:pStyle w:val="14"/>
        <w:snapToGrid w:val="0"/>
        <w:spacing w:after="0" w:line="240" w:lineRule="auto"/>
        <w:rPr>
          <w:rFonts w:eastAsia="华文细黑"/>
          <w:b/>
        </w:rPr>
      </w:pPr>
      <w:bookmarkStart w:id="0" w:name="_DV_M16"/>
      <w:bookmarkEnd w:id="0"/>
      <w:bookmarkStart w:id="1" w:name="_DV_M17"/>
      <w:bookmarkEnd w:id="1"/>
      <w:r>
        <w:rPr>
          <w:rFonts w:hint="eastAsia" w:eastAsia="华文细黑"/>
          <w:b/>
        </w:rPr>
        <w:t>二零</w:t>
      </w:r>
      <w:r>
        <w:rPr>
          <w:rFonts w:hint="eastAsia" w:eastAsia="华文细黑"/>
          <w:b/>
          <w:lang w:val="en-US" w:eastAsia="zh-CN"/>
        </w:rPr>
        <w:t>XX</w:t>
      </w:r>
      <w:r>
        <w:rPr>
          <w:rFonts w:eastAsia="华文细黑"/>
          <w:b/>
        </w:rPr>
        <w:t>年</w:t>
      </w:r>
      <w:r>
        <w:rPr>
          <w:rFonts w:eastAsia="华文细黑"/>
          <w:b/>
          <w:u w:val="single"/>
        </w:rPr>
        <w:t xml:space="preserve"> </w:t>
      </w:r>
      <w:r>
        <w:rPr>
          <w:rFonts w:hint="eastAsia" w:eastAsia="华文细黑"/>
          <w:b/>
          <w:u w:val="single"/>
        </w:rPr>
        <w:t xml:space="preserve"> </w:t>
      </w:r>
      <w:r>
        <w:rPr>
          <w:rFonts w:eastAsia="华文细黑"/>
          <w:b/>
          <w:u w:val="single"/>
        </w:rPr>
        <w:t xml:space="preserve">  </w:t>
      </w:r>
      <w:r>
        <w:rPr>
          <w:rFonts w:eastAsia="华文细黑"/>
          <w:b/>
        </w:rPr>
        <w:t>月</w:t>
      </w:r>
      <w:r>
        <w:rPr>
          <w:rFonts w:eastAsia="华文细黑"/>
          <w:b/>
          <w:u w:val="single"/>
        </w:rPr>
        <w:t xml:space="preserve"> </w:t>
      </w:r>
      <w:r>
        <w:rPr>
          <w:rFonts w:hint="eastAsia" w:eastAsia="华文细黑"/>
          <w:b/>
          <w:u w:val="single"/>
        </w:rPr>
        <w:t xml:space="preserve">  </w:t>
      </w:r>
      <w:r>
        <w:rPr>
          <w:rFonts w:eastAsia="华文细黑"/>
          <w:b/>
          <w:u w:val="single"/>
        </w:rPr>
        <w:t xml:space="preserve"> </w:t>
      </w:r>
      <w:r>
        <w:rPr>
          <w:rFonts w:eastAsia="华文细黑"/>
          <w:b/>
        </w:rPr>
        <w:t>日</w:t>
      </w:r>
    </w:p>
    <w:p>
      <w:pPr>
        <w:pStyle w:val="5"/>
        <w:rPr>
          <w:rFonts w:eastAsia="华文细黑"/>
        </w:rPr>
      </w:pPr>
      <w:r>
        <w:rPr>
          <w:rFonts w:eastAsia="华文细黑"/>
        </w:rPr>
        <w:br w:type="page"/>
      </w:r>
    </w:p>
    <w:p>
      <w:pPr>
        <w:jc w:val="center"/>
        <w:rPr>
          <w:rFonts w:eastAsia="华文细黑"/>
          <w:b/>
          <w:sz w:val="30"/>
          <w:szCs w:val="30"/>
        </w:rPr>
      </w:pPr>
      <w:r>
        <w:rPr>
          <w:rFonts w:eastAsia="华文细黑"/>
          <w:b/>
          <w:sz w:val="30"/>
          <w:szCs w:val="30"/>
        </w:rPr>
        <w:t>目  录</w:t>
      </w:r>
    </w:p>
    <w:p>
      <w:pPr>
        <w:rPr>
          <w:rFonts w:eastAsia="华文细黑"/>
        </w:rPr>
      </w:pPr>
    </w:p>
    <w:p>
      <w:pPr>
        <w:pStyle w:val="6"/>
        <w:tabs>
          <w:tab w:val="left" w:pos="1470"/>
          <w:tab w:val="right" w:leader="dot" w:pos="8302"/>
        </w:tabs>
        <w:ind w:left="480"/>
        <w:rPr>
          <w:rFonts w:ascii="Calibri" w:hAnsi="Calibri"/>
          <w:sz w:val="21"/>
          <w:szCs w:val="22"/>
        </w:rPr>
      </w:pPr>
      <w:r>
        <w:rPr>
          <w:rFonts w:eastAsia="华文细黑"/>
          <w:b/>
          <w:color w:val="000000"/>
          <w:sz w:val="28"/>
          <w:szCs w:val="28"/>
        </w:rPr>
        <w:fldChar w:fldCharType="begin"/>
      </w:r>
      <w:r>
        <w:rPr>
          <w:rFonts w:eastAsia="华文细黑"/>
          <w:b/>
          <w:color w:val="000000"/>
          <w:sz w:val="28"/>
          <w:szCs w:val="28"/>
        </w:rPr>
        <w:instrText xml:space="preserve"> TOC \o "1-3" \h \z \u </w:instrText>
      </w:r>
      <w:r>
        <w:rPr>
          <w:rFonts w:eastAsia="华文细黑"/>
          <w:b/>
          <w:color w:val="000000"/>
          <w:sz w:val="28"/>
          <w:szCs w:val="28"/>
        </w:rPr>
        <w:fldChar w:fldCharType="separate"/>
      </w:r>
      <w:r>
        <w:fldChar w:fldCharType="begin"/>
      </w:r>
      <w:r>
        <w:instrText xml:space="preserve"> HYPERLINK \l "_Toc422314075" </w:instrText>
      </w:r>
      <w:r>
        <w:fldChar w:fldCharType="separate"/>
      </w:r>
      <w:r>
        <w:rPr>
          <w:rStyle w:val="10"/>
          <w:rFonts w:hint="eastAsia" w:eastAsia="华文细黑"/>
          <w:b/>
        </w:rPr>
        <w:t>第1条</w:t>
      </w:r>
      <w:r>
        <w:rPr>
          <w:rFonts w:ascii="Calibri" w:hAnsi="Calibri"/>
          <w:sz w:val="21"/>
          <w:szCs w:val="22"/>
        </w:rPr>
        <w:tab/>
      </w:r>
      <w:r>
        <w:rPr>
          <w:rStyle w:val="10"/>
          <w:rFonts w:hint="eastAsia" w:eastAsia="华文细黑"/>
          <w:b/>
        </w:rPr>
        <w:t>业绩承诺与补偿措施</w:t>
      </w:r>
      <w:r>
        <w:tab/>
      </w:r>
      <w:r>
        <w:fldChar w:fldCharType="begin"/>
      </w:r>
      <w:r>
        <w:instrText xml:space="preserve"> PAGEREF _Toc422314075 \h </w:instrText>
      </w:r>
      <w:r>
        <w:fldChar w:fldCharType="separate"/>
      </w:r>
      <w:r>
        <w:t>3</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"_Toc422314076" </w:instrText>
      </w:r>
      <w:r>
        <w:fldChar w:fldCharType="separate"/>
      </w:r>
      <w:r>
        <w:rPr>
          <w:rStyle w:val="10"/>
          <w:rFonts w:hint="eastAsia" w:eastAsia="华文细黑"/>
          <w:b/>
        </w:rPr>
        <w:t>第2条</w:t>
      </w:r>
      <w:r>
        <w:rPr>
          <w:rFonts w:ascii="Calibri" w:hAnsi="Calibri"/>
          <w:sz w:val="21"/>
          <w:szCs w:val="22"/>
        </w:rPr>
        <w:tab/>
      </w:r>
      <w:r>
        <w:rPr>
          <w:rStyle w:val="10"/>
          <w:rFonts w:hint="eastAsia" w:eastAsia="华文细黑"/>
          <w:b/>
        </w:rPr>
        <w:t>甲方的特别权利</w:t>
      </w:r>
      <w:r>
        <w:tab/>
      </w:r>
      <w:r>
        <w:fldChar w:fldCharType="begin"/>
      </w:r>
      <w:r>
        <w:instrText xml:space="preserve"> PAGEREF _Toc422314076 \h </w:instrText>
      </w:r>
      <w:r>
        <w:fldChar w:fldCharType="separate"/>
      </w:r>
      <w:r>
        <w:t>4</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"_Toc422314077" </w:instrText>
      </w:r>
      <w:r>
        <w:fldChar w:fldCharType="separate"/>
      </w:r>
      <w:r>
        <w:rPr>
          <w:rStyle w:val="10"/>
          <w:rFonts w:hint="eastAsia" w:eastAsia="华文细黑"/>
          <w:b/>
        </w:rPr>
        <w:t>第3条</w:t>
      </w:r>
      <w:r>
        <w:rPr>
          <w:rFonts w:ascii="Calibri" w:hAnsi="Calibri"/>
          <w:sz w:val="21"/>
          <w:szCs w:val="22"/>
        </w:rPr>
        <w:tab/>
      </w:r>
      <w:r>
        <w:rPr>
          <w:rStyle w:val="10"/>
          <w:rFonts w:hint="eastAsia" w:eastAsia="华文细黑"/>
          <w:b/>
        </w:rPr>
        <w:t>乙方、丙方陈述与保证</w:t>
      </w:r>
      <w:r>
        <w:tab/>
      </w:r>
      <w:r>
        <w:fldChar w:fldCharType="begin"/>
      </w:r>
      <w:r>
        <w:instrText xml:space="preserve"> PAGEREF _Toc422314077 \h </w:instrText>
      </w:r>
      <w:r>
        <w:fldChar w:fldCharType="separate"/>
      </w:r>
      <w:r>
        <w:t>9</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"_Toc422314078" </w:instrText>
      </w:r>
      <w:r>
        <w:fldChar w:fldCharType="separate"/>
      </w:r>
      <w:r>
        <w:rPr>
          <w:rStyle w:val="10"/>
          <w:rFonts w:hint="eastAsia" w:eastAsia="华文细黑"/>
          <w:b/>
        </w:rPr>
        <w:t>第4条</w:t>
      </w:r>
      <w:r>
        <w:rPr>
          <w:rFonts w:ascii="Calibri" w:hAnsi="Calibri"/>
          <w:sz w:val="21"/>
          <w:szCs w:val="22"/>
        </w:rPr>
        <w:tab/>
      </w:r>
      <w:r>
        <w:rPr>
          <w:rStyle w:val="10"/>
          <w:rFonts w:hint="eastAsia" w:eastAsia="华文细黑"/>
          <w:b/>
        </w:rPr>
        <w:t>本次交易完成后的承诺</w:t>
      </w:r>
      <w:r>
        <w:tab/>
      </w:r>
      <w:r>
        <w:fldChar w:fldCharType="begin"/>
      </w:r>
      <w:r>
        <w:instrText xml:space="preserve"> PAGEREF _Toc422314078 \h </w:instrText>
      </w:r>
      <w:r>
        <w:fldChar w:fldCharType="separate"/>
      </w:r>
      <w:r>
        <w:t>14</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"_Toc422314084" </w:instrText>
      </w:r>
      <w:r>
        <w:fldChar w:fldCharType="separate"/>
      </w:r>
      <w:r>
        <w:rPr>
          <w:rStyle w:val="10"/>
          <w:rFonts w:hint="eastAsia" w:eastAsia="华文细黑"/>
          <w:b/>
        </w:rPr>
        <w:t>第5条</w:t>
      </w:r>
      <w:r>
        <w:rPr>
          <w:rFonts w:ascii="Calibri" w:hAnsi="Calibri"/>
          <w:sz w:val="21"/>
          <w:szCs w:val="22"/>
        </w:rPr>
        <w:tab/>
      </w:r>
      <w:r>
        <w:rPr>
          <w:rStyle w:val="10"/>
          <w:rFonts w:hint="eastAsia" w:eastAsia="华文细黑"/>
          <w:b/>
        </w:rPr>
        <w:t>其他</w:t>
      </w:r>
      <w:r>
        <w:tab/>
      </w:r>
      <w:r>
        <w:fldChar w:fldCharType="begin"/>
      </w:r>
      <w:r>
        <w:instrText xml:space="preserve"> PAGEREF _Toc422314084 \h </w:instrText>
      </w:r>
      <w:r>
        <w:fldChar w:fldCharType="separate"/>
      </w:r>
      <w:r>
        <w:t>15</w:t>
      </w:r>
      <w:r>
        <w:fldChar w:fldCharType="end"/>
      </w:r>
      <w:r>
        <w:fldChar w:fldCharType="end"/>
      </w:r>
    </w:p>
    <w:p>
      <w:pPr>
        <w:pStyle w:val="6"/>
        <w:tabs>
          <w:tab w:val="left" w:pos="1470"/>
          <w:tab w:val="right" w:leader="dot" w:pos="8302"/>
        </w:tabs>
        <w:ind w:left="480"/>
        <w:rPr>
          <w:rFonts w:ascii="Calibri" w:hAnsi="Calibri"/>
          <w:sz w:val="21"/>
          <w:szCs w:val="22"/>
        </w:rPr>
      </w:pPr>
      <w:r>
        <w:fldChar w:fldCharType="begin"/>
      </w:r>
      <w:r>
        <w:instrText xml:space="preserve"> HYPERLINK \l "_Toc422314085" </w:instrText>
      </w:r>
      <w:r>
        <w:fldChar w:fldCharType="separate"/>
      </w:r>
      <w:r>
        <w:rPr>
          <w:rStyle w:val="10"/>
          <w:rFonts w:hint="eastAsia" w:eastAsia="华文细黑"/>
          <w:b/>
        </w:rPr>
        <w:t>第6条</w:t>
      </w:r>
      <w:r>
        <w:rPr>
          <w:rFonts w:ascii="Calibri" w:hAnsi="Calibri"/>
          <w:sz w:val="21"/>
          <w:szCs w:val="22"/>
        </w:rPr>
        <w:tab/>
      </w:r>
      <w:r>
        <w:rPr>
          <w:rStyle w:val="10"/>
          <w:rFonts w:hint="eastAsia" w:eastAsia="华文细黑"/>
          <w:b/>
        </w:rPr>
        <w:t>附则</w:t>
      </w:r>
      <w:r>
        <w:tab/>
      </w:r>
      <w:r>
        <w:fldChar w:fldCharType="begin"/>
      </w:r>
      <w:r>
        <w:instrText xml:space="preserve"> PAGEREF _Toc422314085 \h </w:instrText>
      </w:r>
      <w:r>
        <w:fldChar w:fldCharType="separate"/>
      </w:r>
      <w:r>
        <w:t>15</w:t>
      </w:r>
      <w:r>
        <w:fldChar w:fldCharType="end"/>
      </w:r>
      <w:r>
        <w:fldChar w:fldCharType="end"/>
      </w:r>
    </w:p>
    <w:p>
      <w:pPr>
        <w:spacing w:line="460" w:lineRule="exact"/>
        <w:rPr>
          <w:rFonts w:eastAsia="华文细黑"/>
          <w:color w:val="000000"/>
          <w:sz w:val="28"/>
          <w:szCs w:val="28"/>
        </w:rPr>
      </w:pPr>
      <w:r>
        <w:rPr>
          <w:rFonts w:eastAsia="华文细黑"/>
          <w:b/>
          <w:color w:val="000000"/>
          <w:sz w:val="28"/>
          <w:szCs w:val="28"/>
        </w:rPr>
        <w:fldChar w:fldCharType="end"/>
      </w:r>
    </w:p>
    <w:p>
      <w:pPr>
        <w:spacing w:line="360" w:lineRule="auto"/>
        <w:rPr>
          <w:rFonts w:eastAsia="华文细黑"/>
          <w:color w:val="000000"/>
          <w:sz w:val="36"/>
          <w:szCs w:val="36"/>
        </w:rPr>
      </w:pPr>
      <w:r>
        <w:rPr>
          <w:rFonts w:eastAsia="华文细黑"/>
          <w:color w:val="000000"/>
        </w:rPr>
        <w:br w:type="page"/>
      </w:r>
    </w:p>
    <w:p>
      <w:pPr>
        <w:spacing w:line="440" w:lineRule="exact"/>
        <w:jc w:val="center"/>
        <w:rPr>
          <w:rFonts w:eastAsia="华文细黑"/>
          <w:b/>
          <w:sz w:val="36"/>
          <w:szCs w:val="36"/>
        </w:rPr>
      </w:pPr>
      <w:r>
        <w:rPr>
          <w:rFonts w:hint="eastAsia" w:eastAsia="华文细黑"/>
          <w:b/>
          <w:sz w:val="36"/>
          <w:szCs w:val="36"/>
        </w:rPr>
        <w:t>投资</w:t>
      </w:r>
      <w:r>
        <w:rPr>
          <w:rFonts w:eastAsia="华文细黑"/>
          <w:b/>
          <w:sz w:val="36"/>
          <w:szCs w:val="36"/>
        </w:rPr>
        <w:t>协议</w:t>
      </w:r>
      <w:r>
        <w:rPr>
          <w:rFonts w:hint="eastAsia" w:eastAsia="华文细黑"/>
          <w:b/>
          <w:sz w:val="36"/>
          <w:szCs w:val="36"/>
        </w:rPr>
        <w:t>之补充协议</w:t>
      </w:r>
      <w:r>
        <w:rPr>
          <w:rFonts w:eastAsia="华文细黑"/>
          <w:b/>
          <w:sz w:val="36"/>
          <w:szCs w:val="36"/>
        </w:rPr>
        <w:t>书</w:t>
      </w:r>
    </w:p>
    <w:p>
      <w:pPr>
        <w:spacing w:line="440" w:lineRule="exact"/>
        <w:rPr>
          <w:rFonts w:eastAsia="华文细黑"/>
          <w:sz w:val="36"/>
          <w:szCs w:val="36"/>
        </w:rPr>
      </w:pPr>
    </w:p>
    <w:p>
      <w:pPr>
        <w:spacing w:line="460" w:lineRule="exact"/>
        <w:rPr>
          <w:rFonts w:eastAsia="华文细黑"/>
        </w:rPr>
      </w:pPr>
      <w:r>
        <w:rPr>
          <w:rFonts w:eastAsia="华文细黑"/>
        </w:rPr>
        <w:t xml:space="preserve">    本</w:t>
      </w:r>
      <w:r>
        <w:rPr>
          <w:rFonts w:hint="eastAsia" w:eastAsia="华文细黑"/>
        </w:rPr>
        <w:t>补充</w:t>
      </w:r>
      <w:r>
        <w:rPr>
          <w:rFonts w:eastAsia="华文细黑"/>
        </w:rPr>
        <w:t>协议由下列各方于20</w:t>
      </w:r>
      <w:r>
        <w:rPr>
          <w:rFonts w:hint="eastAsia" w:eastAsia="华文细黑"/>
          <w:lang w:val="en-US" w:eastAsia="zh-CN"/>
        </w:rPr>
        <w:t>XX</w:t>
      </w:r>
      <w:r>
        <w:rPr>
          <w:rFonts w:eastAsia="华文细黑"/>
        </w:rPr>
        <w:t>年</w:t>
      </w:r>
      <w:r>
        <w:rPr>
          <w:rFonts w:eastAsia="华文细黑"/>
          <w:u w:val="single"/>
        </w:rPr>
        <w:t xml:space="preserve"> </w:t>
      </w:r>
      <w:r>
        <w:rPr>
          <w:rFonts w:hint="eastAsia" w:eastAsia="华文细黑"/>
          <w:u w:val="single"/>
        </w:rPr>
        <w:t xml:space="preserve"> </w:t>
      </w:r>
      <w:r>
        <w:rPr>
          <w:rFonts w:eastAsia="华文细黑"/>
          <w:u w:val="single"/>
        </w:rPr>
        <w:t xml:space="preserve">  </w:t>
      </w:r>
      <w:r>
        <w:rPr>
          <w:rFonts w:eastAsia="华文细黑"/>
        </w:rPr>
        <w:t>月</w:t>
      </w:r>
      <w:r>
        <w:rPr>
          <w:rFonts w:eastAsia="华文细黑"/>
          <w:u w:val="single"/>
        </w:rPr>
        <w:t xml:space="preserve">    </w:t>
      </w:r>
      <w:r>
        <w:rPr>
          <w:rFonts w:eastAsia="华文细黑"/>
        </w:rPr>
        <w:t>日在</w:t>
      </w:r>
      <w:r>
        <w:rPr>
          <w:rFonts w:hint="eastAsia" w:eastAsia="华文细黑"/>
        </w:rPr>
        <w:t>北京</w:t>
      </w:r>
      <w:r>
        <w:rPr>
          <w:rFonts w:eastAsia="华文细黑"/>
        </w:rPr>
        <w:t>市签署：</w:t>
      </w:r>
    </w:p>
    <w:p>
      <w:pPr>
        <w:spacing w:line="460" w:lineRule="exact"/>
        <w:rPr>
          <w:rFonts w:eastAsia="华文细黑"/>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b/>
        </w:rPr>
      </w:pPr>
      <w:r>
        <w:rPr>
          <w:rFonts w:eastAsia="华文细黑"/>
          <w:b/>
        </w:rPr>
        <w:t>甲方：          科技有限公司（以下简称“投资方”）</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eastAsia="华文细黑"/>
        </w:rPr>
      </w:pPr>
      <w:r>
        <w:rPr>
          <w:rFonts w:eastAsia="华文细黑"/>
          <w:b/>
        </w:rPr>
        <w:t xml:space="preserve">      </w:t>
      </w:r>
      <w:r>
        <w:rPr>
          <w:rFonts w:eastAsia="华文细黑"/>
        </w:rPr>
        <w:t>执照注册号：</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eastAsia="华文细黑"/>
        </w:rPr>
        <w:t xml:space="preserve">      </w:t>
      </w:r>
      <w:r>
        <w:rPr>
          <w:rFonts w:hint="eastAsia" w:eastAsia="华文细黑"/>
        </w:rPr>
        <w:t>法定</w:t>
      </w:r>
      <w:r>
        <w:rPr>
          <w:rFonts w:hint="eastAsia" w:ascii="华文细黑" w:hAnsi="华文细黑" w:eastAsia="华文细黑"/>
        </w:rPr>
        <w:t>代表人</w:t>
      </w:r>
      <w:r>
        <w:rPr>
          <w:rFonts w:ascii="华文细黑" w:hAnsi="华文细黑"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ascii="华文细黑" w:hAnsi="华文细黑" w:eastAsia="华文细黑"/>
        </w:rPr>
        <w:t xml:space="preserve">      地址：</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064" w:firstLineChars="443"/>
        <w:jc w:val="left"/>
        <w:rPr>
          <w:rFonts w:eastAsia="华文细黑"/>
          <w:b/>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jc w:val="left"/>
        <w:rPr>
          <w:rFonts w:eastAsia="华文细黑"/>
          <w:b/>
        </w:rPr>
      </w:pPr>
      <w:r>
        <w:rPr>
          <w:rFonts w:eastAsia="华文细黑"/>
          <w:b/>
        </w:rPr>
        <w:t>乙方：</w:t>
      </w:r>
      <w:r>
        <w:rPr>
          <w:rFonts w:hint="eastAsia" w:eastAsia="华文细黑"/>
          <w:b/>
          <w:u w:val="single"/>
        </w:rPr>
        <w:t xml:space="preserve">               </w:t>
      </w:r>
      <w:r>
        <w:rPr>
          <w:rFonts w:eastAsia="华文细黑"/>
          <w:b/>
        </w:rPr>
        <w:t>有限公司（以下简称“目标公司”）</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200" w:firstLineChars="500"/>
        <w:jc w:val="left"/>
        <w:rPr>
          <w:rFonts w:eastAsia="华文细黑"/>
        </w:rPr>
      </w:pPr>
      <w:r>
        <w:rPr>
          <w:rFonts w:eastAsia="华文细黑"/>
        </w:rPr>
        <w:t>执照注册号：</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480" w:firstLineChars="200"/>
        <w:jc w:val="left"/>
        <w:rPr>
          <w:rFonts w:ascii="华文细黑" w:hAnsi="华文细黑" w:eastAsia="华文细黑"/>
        </w:rPr>
      </w:pPr>
      <w:r>
        <w:rPr>
          <w:rFonts w:eastAsia="华文细黑"/>
        </w:rPr>
        <w:t xml:space="preserve">      法定代表人</w:t>
      </w:r>
      <w:r>
        <w:rPr>
          <w:rFonts w:ascii="华文细黑" w:hAnsi="华文细黑"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1068" w:firstLineChars="445"/>
        <w:jc w:val="left"/>
        <w:rPr>
          <w:rFonts w:ascii="华文细黑" w:hAnsi="华文细黑" w:eastAsia="华文细黑"/>
          <w:b/>
        </w:rPr>
      </w:pPr>
      <w:r>
        <w:rPr>
          <w:rFonts w:ascii="华文细黑" w:hAnsi="华文细黑" w:eastAsia="华文细黑"/>
        </w:rPr>
        <w:t xml:space="preserve"> 地址：</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b/>
        </w:rPr>
      </w:pP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left="420"/>
        <w:jc w:val="left"/>
        <w:rPr>
          <w:rFonts w:eastAsia="华文细黑"/>
          <w:b/>
        </w:rPr>
      </w:pPr>
      <w:r>
        <w:rPr>
          <w:rFonts w:eastAsia="华文细黑"/>
          <w:b/>
        </w:rPr>
        <w:t xml:space="preserve">丙方: </w:t>
      </w:r>
    </w:p>
    <w:p>
      <w:pPr>
        <w:pStyle w:val="15"/>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w:t>
      </w:r>
      <w:r>
        <w:rPr>
          <w:rFonts w:eastAsia="华文细黑"/>
        </w:rPr>
        <w:t>，中国公民，身份证号码：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eastAsia="华文细黑"/>
        </w:rPr>
        <w:t xml:space="preserve">住  址：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960" w:firstLineChars="400"/>
        <w:jc w:val="left"/>
        <w:rPr>
          <w:rFonts w:eastAsia="华文细黑"/>
          <w:b/>
        </w:rPr>
      </w:pPr>
    </w:p>
    <w:p>
      <w:pPr>
        <w:pStyle w:val="15"/>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w:t>
      </w:r>
      <w:r>
        <w:rPr>
          <w:rFonts w:eastAsia="华文细黑"/>
        </w:rPr>
        <w:t>，中国公民，身份证号码：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eastAsia="华文细黑"/>
        </w:rPr>
        <w:t xml:space="preserve">住  址：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960" w:firstLineChars="400"/>
        <w:jc w:val="left"/>
        <w:rPr>
          <w:rFonts w:eastAsia="华文细黑"/>
          <w:b/>
        </w:rPr>
      </w:pPr>
    </w:p>
    <w:p>
      <w:pPr>
        <w:pStyle w:val="15"/>
        <w:numPr>
          <w:ilvl w:val="0"/>
          <w:numId w:val="1"/>
        </w:num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Chars="0"/>
        <w:jc w:val="left"/>
        <w:rPr>
          <w:rFonts w:eastAsia="华文细黑"/>
        </w:rPr>
      </w:pPr>
      <w:r>
        <w:rPr>
          <w:rFonts w:hint="eastAsia" w:eastAsia="华文细黑"/>
        </w:rPr>
        <w:t xml:space="preserve">      ，中国公民，身份证号码：</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ind w:firstLine="832" w:firstLineChars="347"/>
        <w:jc w:val="left"/>
        <w:rPr>
          <w:rFonts w:eastAsia="华文细黑"/>
        </w:rPr>
      </w:pPr>
      <w:r>
        <w:rPr>
          <w:rFonts w:hint="eastAsia" w:eastAsia="华文细黑"/>
        </w:rPr>
        <w:t>住</w:t>
      </w:r>
      <w:r>
        <w:rPr>
          <w:rFonts w:eastAsia="华文细黑"/>
        </w:rPr>
        <w:t xml:space="preserve">  </w:t>
      </w:r>
      <w:r>
        <w:rPr>
          <w:rFonts w:hint="eastAsia" w:eastAsia="华文细黑"/>
        </w:rPr>
        <w:t>址：</w:t>
      </w:r>
      <w:r>
        <w:rPr>
          <w:rFonts w:eastAsia="华文细黑"/>
        </w:rPr>
        <w:t xml:space="preserve"> </w:t>
      </w:r>
    </w:p>
    <w:p>
      <w:pPr>
        <w:tabs>
          <w:tab w:val="left" w:pos="-720"/>
          <w:tab w:val="left" w:pos="0"/>
          <w:tab w:val="left" w:pos="42"/>
          <w:tab w:val="left" w:pos="1440"/>
          <w:tab w:val="left" w:pos="2160"/>
          <w:tab w:val="left" w:pos="2880"/>
          <w:tab w:val="left" w:pos="3600"/>
          <w:tab w:val="left" w:pos="4320"/>
          <w:tab w:val="left" w:pos="5040"/>
          <w:tab w:val="left" w:pos="5760"/>
          <w:tab w:val="left" w:pos="6480"/>
          <w:tab w:val="left" w:pos="7200"/>
          <w:tab w:val="left" w:pos="7920"/>
        </w:tabs>
        <w:spacing w:line="460" w:lineRule="exact"/>
        <w:jc w:val="left"/>
        <w:rPr>
          <w:rFonts w:eastAsia="华文细黑"/>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p>
    <w:p>
      <w:pPr>
        <w:spacing w:line="460" w:lineRule="exact"/>
        <w:rPr>
          <w:rFonts w:eastAsia="华文细黑"/>
          <w:b/>
        </w:rPr>
      </w:pPr>
      <w:r>
        <w:rPr>
          <w:rFonts w:eastAsia="华文细黑"/>
          <w:b/>
        </w:rPr>
        <w:t>鉴于本</w:t>
      </w:r>
      <w:r>
        <w:rPr>
          <w:rFonts w:hint="eastAsia" w:eastAsia="华文细黑"/>
          <w:b/>
        </w:rPr>
        <w:t>补充</w:t>
      </w:r>
      <w:r>
        <w:rPr>
          <w:rFonts w:eastAsia="华文细黑"/>
          <w:b/>
        </w:rPr>
        <w:t>协议签署之日：</w:t>
      </w:r>
    </w:p>
    <w:p>
      <w:pPr>
        <w:numPr>
          <w:ilvl w:val="0"/>
          <w:numId w:val="2"/>
        </w:numPr>
        <w:tabs>
          <w:tab w:val="left" w:pos="1080"/>
          <w:tab w:val="clear" w:pos="1320"/>
        </w:tabs>
        <w:spacing w:line="460" w:lineRule="exact"/>
        <w:ind w:left="1080" w:hanging="540"/>
        <w:rPr>
          <w:rFonts w:eastAsia="华文细黑"/>
        </w:rPr>
      </w:pPr>
      <w:r>
        <w:rPr>
          <w:rFonts w:eastAsia="华文细黑"/>
        </w:rPr>
        <w:t>甲方</w:t>
      </w:r>
      <w:r>
        <w:rPr>
          <w:rFonts w:hint="eastAsia" w:eastAsia="华文细黑"/>
        </w:rPr>
        <w:t>、乙方、丙方各方已于20</w:t>
      </w:r>
      <w:r>
        <w:rPr>
          <w:rFonts w:hint="eastAsia" w:eastAsia="华文细黑"/>
          <w:lang w:val="en-US" w:eastAsia="zh-CN"/>
        </w:rPr>
        <w:t>XX</w:t>
      </w:r>
      <w:r>
        <w:rPr>
          <w:rFonts w:hint="eastAsia" w:eastAsia="华文细黑"/>
        </w:rPr>
        <w:t>年</w:t>
      </w:r>
      <w:r>
        <w:rPr>
          <w:rFonts w:hint="eastAsia" w:eastAsia="华文细黑"/>
          <w:u w:val="single"/>
        </w:rPr>
        <w:t xml:space="preserve">   </w:t>
      </w:r>
      <w:r>
        <w:rPr>
          <w:rFonts w:hint="eastAsia" w:eastAsia="华文细黑"/>
        </w:rPr>
        <w:t>月</w:t>
      </w:r>
      <w:r>
        <w:rPr>
          <w:rFonts w:eastAsia="华文细黑"/>
          <w:u w:val="single"/>
        </w:rPr>
        <w:t>__</w:t>
      </w:r>
      <w:r>
        <w:rPr>
          <w:rFonts w:hint="eastAsia" w:eastAsia="华文细黑"/>
          <w:u w:val="single"/>
        </w:rPr>
        <w:t xml:space="preserve"> </w:t>
      </w:r>
      <w:r>
        <w:rPr>
          <w:rFonts w:hint="eastAsia" w:eastAsia="华文细黑"/>
        </w:rPr>
        <w:t>日签署了《关于</w:t>
      </w:r>
      <w:r>
        <w:rPr>
          <w:rFonts w:hint="eastAsia" w:eastAsia="华文细黑"/>
          <w:u w:val="single"/>
        </w:rPr>
        <w:t xml:space="preserve">      </w:t>
      </w:r>
      <w:r>
        <w:rPr>
          <w:rFonts w:eastAsia="华文细黑"/>
        </w:rPr>
        <w:t>有限公司</w:t>
      </w:r>
      <w:r>
        <w:rPr>
          <w:rFonts w:hint="eastAsia" w:eastAsia="华文细黑"/>
        </w:rPr>
        <w:t>的投资协议书》（以下简称“《投资协议书》”）</w:t>
      </w:r>
      <w:r>
        <w:rPr>
          <w:rFonts w:eastAsia="华文细黑"/>
        </w:rPr>
        <w:t>。</w:t>
      </w:r>
    </w:p>
    <w:p>
      <w:pPr>
        <w:numPr>
          <w:ilvl w:val="0"/>
          <w:numId w:val="2"/>
        </w:numPr>
        <w:tabs>
          <w:tab w:val="left" w:pos="1080"/>
          <w:tab w:val="clear" w:pos="1320"/>
        </w:tabs>
        <w:spacing w:line="460" w:lineRule="exact"/>
        <w:ind w:left="1080" w:hanging="540"/>
        <w:rPr>
          <w:rFonts w:eastAsia="华文细黑"/>
        </w:rPr>
      </w:pPr>
      <w:r>
        <w:rPr>
          <w:rFonts w:hint="eastAsia" w:eastAsia="华文细黑"/>
        </w:rPr>
        <w:t xml:space="preserve">为保障甲方投资乙方后的合法权益，经甲、乙、丙三方平等友好协商，就《投资协议书》未尽事宜，签订如本补充协议。 </w:t>
      </w:r>
    </w:p>
    <w:p>
      <w:pPr>
        <w:numPr>
          <w:ilvl w:val="0"/>
          <w:numId w:val="2"/>
        </w:numPr>
        <w:tabs>
          <w:tab w:val="left" w:pos="1080"/>
          <w:tab w:val="clear" w:pos="1320"/>
        </w:tabs>
        <w:spacing w:after="156" w:afterLines="50" w:line="460" w:lineRule="exact"/>
        <w:ind w:left="1078" w:hanging="539"/>
        <w:rPr>
          <w:rFonts w:eastAsia="华文细黑"/>
        </w:rPr>
      </w:pPr>
      <w:r>
        <w:rPr>
          <w:rFonts w:hint="eastAsia" w:eastAsia="华文细黑"/>
        </w:rPr>
        <w:t>除另有说明外，本补充协议所用简称、定义与《投资协议书》所使用简称、定义相一致。</w:t>
      </w:r>
    </w:p>
    <w:p>
      <w:pPr>
        <w:numPr>
          <w:ilvl w:val="0"/>
          <w:numId w:val="3"/>
        </w:numPr>
        <w:spacing w:before="312" w:beforeLines="100" w:line="460" w:lineRule="exact"/>
        <w:ind w:hangingChars="177"/>
        <w:outlineLvl w:val="1"/>
        <w:rPr>
          <w:rFonts w:eastAsia="华文细黑"/>
          <w:b/>
        </w:rPr>
      </w:pPr>
      <w:bookmarkStart w:id="2" w:name="_Toc422314075"/>
      <w:r>
        <w:rPr>
          <w:rFonts w:hint="eastAsia" w:eastAsia="华文细黑"/>
          <w:b/>
        </w:rPr>
        <w:t>业绩承诺与补偿措施</w:t>
      </w:r>
      <w:bookmarkEnd w:id="2"/>
      <w:r>
        <w:rPr>
          <w:rFonts w:hint="eastAsia" w:eastAsia="华文细黑"/>
          <w:b/>
        </w:rPr>
        <w:t>、及创始人股权锁定期</w:t>
      </w:r>
    </w:p>
    <w:p>
      <w:pPr>
        <w:numPr>
          <w:ilvl w:val="1"/>
          <w:numId w:val="3"/>
        </w:numPr>
        <w:spacing w:line="460" w:lineRule="exact"/>
        <w:rPr>
          <w:rFonts w:eastAsia="华文细黑"/>
          <w:b/>
        </w:rPr>
      </w:pPr>
      <w:r>
        <w:rPr>
          <w:rFonts w:hint="eastAsia" w:eastAsia="华文细黑"/>
          <w:b/>
        </w:rPr>
        <w:t>业绩承诺</w:t>
      </w:r>
    </w:p>
    <w:p>
      <w:pPr>
        <w:spacing w:line="460" w:lineRule="exact"/>
        <w:ind w:left="992"/>
        <w:rPr>
          <w:rFonts w:eastAsia="华文细黑"/>
        </w:rPr>
      </w:pPr>
      <w:r>
        <w:rPr>
          <w:rFonts w:hint="eastAsia" w:eastAsia="华文细黑"/>
        </w:rPr>
        <w:t>丙方及目标公司承诺，应于</w:t>
      </w:r>
      <w:r>
        <w:rPr>
          <w:rFonts w:hint="eastAsia" w:eastAsia="华文细黑"/>
          <w:u w:val="single"/>
        </w:rPr>
        <w:t xml:space="preserve">     </w:t>
      </w:r>
      <w:r>
        <w:rPr>
          <w:rFonts w:hint="eastAsia" w:eastAsia="华文细黑"/>
        </w:rPr>
        <w:t>年</w:t>
      </w:r>
      <w:r>
        <w:rPr>
          <w:rFonts w:hint="eastAsia" w:eastAsia="华文细黑"/>
          <w:u w:val="single"/>
        </w:rPr>
        <w:t xml:space="preserve">    </w:t>
      </w:r>
      <w:r>
        <w:rPr>
          <w:rFonts w:hint="eastAsia" w:eastAsia="华文细黑"/>
        </w:rPr>
        <w:t>月</w:t>
      </w:r>
      <w:r>
        <w:rPr>
          <w:rFonts w:hint="eastAsia" w:eastAsia="华文细黑"/>
          <w:u w:val="single"/>
        </w:rPr>
        <w:t xml:space="preserve">    </w:t>
      </w:r>
      <w:r>
        <w:rPr>
          <w:rFonts w:hint="eastAsia" w:eastAsia="华文细黑"/>
        </w:rPr>
        <w:t>日之前，完成如下经营指标：</w:t>
      </w:r>
    </w:p>
    <w:p>
      <w:pPr>
        <w:spacing w:line="460" w:lineRule="exact"/>
        <w:ind w:left="992"/>
        <w:rPr>
          <w:rFonts w:eastAsia="华文细黑"/>
        </w:rPr>
      </w:pPr>
      <w:r>
        <w:rPr>
          <w:rFonts w:hint="eastAsia" w:eastAsia="华文细黑"/>
        </w:rPr>
        <w:t>（1）</w:t>
      </w:r>
      <w:r>
        <w:rPr>
          <w:rFonts w:hint="eastAsia" w:eastAsia="华文细黑"/>
          <w:u w:val="single"/>
        </w:rPr>
        <w:t xml:space="preserve">                                                        </w:t>
      </w:r>
      <w:r>
        <w:rPr>
          <w:rFonts w:hint="eastAsia" w:eastAsia="华文细黑"/>
        </w:rPr>
        <w:t>；</w:t>
      </w:r>
    </w:p>
    <w:p>
      <w:pPr>
        <w:spacing w:line="460" w:lineRule="exact"/>
        <w:ind w:left="992"/>
        <w:rPr>
          <w:rFonts w:eastAsia="华文细黑"/>
        </w:rPr>
      </w:pPr>
      <w:r>
        <w:rPr>
          <w:rFonts w:hint="eastAsia" w:eastAsia="华文细黑"/>
        </w:rPr>
        <w:t>（2）</w:t>
      </w:r>
      <w:r>
        <w:rPr>
          <w:rFonts w:hint="eastAsia" w:eastAsia="华文细黑"/>
          <w:u w:val="single"/>
        </w:rPr>
        <w:t xml:space="preserve">                                                       </w:t>
      </w:r>
      <w:r>
        <w:rPr>
          <w:rFonts w:hint="eastAsia" w:eastAsia="华文细黑"/>
        </w:rPr>
        <w:t>；</w:t>
      </w:r>
    </w:p>
    <w:p>
      <w:pPr>
        <w:spacing w:line="460" w:lineRule="exact"/>
        <w:ind w:left="992"/>
        <w:rPr>
          <w:rFonts w:eastAsia="华文细黑"/>
        </w:rPr>
      </w:pPr>
      <w:r>
        <w:rPr>
          <w:rFonts w:hint="eastAsia" w:eastAsia="华文细黑"/>
        </w:rPr>
        <w:t>（3）</w:t>
      </w:r>
      <w:r>
        <w:rPr>
          <w:rFonts w:hint="eastAsia" w:eastAsia="华文细黑"/>
          <w:u w:val="single"/>
        </w:rPr>
        <w:t xml:space="preserve">     </w:t>
      </w:r>
      <w:r>
        <w:rPr>
          <w:rFonts w:hint="eastAsia" w:eastAsia="华文细黑"/>
        </w:rPr>
        <w:t>年</w:t>
      </w:r>
      <w:r>
        <w:rPr>
          <w:rFonts w:hint="eastAsia" w:eastAsia="华文细黑"/>
          <w:u w:val="single"/>
        </w:rPr>
        <w:t xml:space="preserve">    </w:t>
      </w:r>
      <w:r>
        <w:rPr>
          <w:rFonts w:hint="eastAsia" w:eastAsia="华文细黑"/>
        </w:rPr>
        <w:t>月</w:t>
      </w:r>
      <w:r>
        <w:rPr>
          <w:rFonts w:hint="eastAsia" w:eastAsia="华文细黑"/>
          <w:u w:val="single"/>
        </w:rPr>
        <w:t xml:space="preserve">    </w:t>
      </w:r>
      <w:r>
        <w:rPr>
          <w:rFonts w:hint="eastAsia" w:eastAsia="华文细黑"/>
        </w:rPr>
        <w:t>日之前，目标公司完成下轮融资，且整体估值不得低于</w:t>
      </w:r>
      <w:r>
        <w:rPr>
          <w:rFonts w:hint="eastAsia" w:eastAsia="华文细黑"/>
          <w:u w:val="single"/>
        </w:rPr>
        <w:t xml:space="preserve">     </w:t>
      </w:r>
      <w:r>
        <w:rPr>
          <w:rFonts w:hint="eastAsia" w:eastAsia="华文细黑"/>
        </w:rPr>
        <w:t>亿元人民币；</w:t>
      </w:r>
    </w:p>
    <w:p>
      <w:pPr>
        <w:spacing w:line="460" w:lineRule="exact"/>
        <w:ind w:left="992"/>
        <w:rPr>
          <w:rFonts w:eastAsia="华文细黑"/>
        </w:rPr>
      </w:pPr>
      <w:r>
        <w:rPr>
          <w:rFonts w:hint="eastAsia" w:eastAsia="华文细黑"/>
        </w:rPr>
        <w:t>如果实际业绩承诺未能全部完成，则丙方应按本补充协议第1.2条规定的标准向甲方进行补偿。</w:t>
      </w:r>
    </w:p>
    <w:p>
      <w:pPr>
        <w:spacing w:line="460" w:lineRule="exact"/>
        <w:ind w:left="992"/>
        <w:rPr>
          <w:rFonts w:eastAsia="华文细黑"/>
        </w:rPr>
      </w:pPr>
    </w:p>
    <w:p>
      <w:pPr>
        <w:numPr>
          <w:ilvl w:val="1"/>
          <w:numId w:val="3"/>
        </w:numPr>
        <w:spacing w:line="460" w:lineRule="exact"/>
        <w:rPr>
          <w:rFonts w:eastAsia="华文细黑"/>
          <w:b/>
        </w:rPr>
      </w:pPr>
      <w:r>
        <w:rPr>
          <w:rFonts w:hint="eastAsia" w:eastAsia="华文细黑"/>
          <w:b/>
        </w:rPr>
        <w:t>补偿措施</w:t>
      </w:r>
    </w:p>
    <w:p>
      <w:pPr>
        <w:spacing w:line="460" w:lineRule="exact"/>
        <w:ind w:left="992"/>
        <w:rPr>
          <w:rFonts w:eastAsia="华文细黑"/>
        </w:rPr>
      </w:pPr>
      <w:r>
        <w:rPr>
          <w:rFonts w:hint="eastAsia" w:eastAsia="华文细黑"/>
        </w:rPr>
        <w:t>本次交易完成后，甲方有权在第1.1条约定业绩承诺完成日后对目标公司实际经营情况进行审核。如目标公司在承诺时间未能完成全部承诺经营指标，则甲方有权选择以股权补偿或现金补偿同时或之一的形式要求丙方进行补偿：股权补偿方式：丙方（1）应将</w:t>
      </w:r>
      <w:r>
        <w:rPr>
          <w:rFonts w:hint="eastAsia" w:eastAsia="华文细黑"/>
          <w:u w:val="single"/>
        </w:rPr>
        <w:t xml:space="preserve"> 5 </w:t>
      </w:r>
      <w:r>
        <w:rPr>
          <w:rFonts w:hint="eastAsia" w:eastAsia="华文细黑"/>
        </w:rPr>
        <w:t>%的目标公司股权无偿转让给甲方。</w:t>
      </w:r>
    </w:p>
    <w:p>
      <w:pPr>
        <w:spacing w:line="460" w:lineRule="exact"/>
        <w:ind w:left="992"/>
        <w:rPr>
          <w:rFonts w:eastAsia="华文细黑"/>
        </w:rPr>
      </w:pPr>
    </w:p>
    <w:p>
      <w:pPr>
        <w:numPr>
          <w:ilvl w:val="1"/>
          <w:numId w:val="3"/>
        </w:numPr>
        <w:spacing w:line="460" w:lineRule="exact"/>
        <w:rPr>
          <w:rFonts w:eastAsia="华文细黑"/>
          <w:b/>
        </w:rPr>
      </w:pPr>
      <w:r>
        <w:rPr>
          <w:rFonts w:hint="eastAsia" w:eastAsia="华文细黑"/>
          <w:b/>
        </w:rPr>
        <w:t>创始人股权锁定期</w:t>
      </w:r>
    </w:p>
    <w:p>
      <w:pPr>
        <w:spacing w:line="460" w:lineRule="exact"/>
        <w:ind w:left="992"/>
        <w:rPr>
          <w:rFonts w:eastAsia="华文细黑"/>
        </w:rPr>
      </w:pPr>
      <w:r>
        <w:rPr>
          <w:rFonts w:hint="eastAsia" w:eastAsia="华文细黑"/>
        </w:rPr>
        <w:t>各创始人丙方（1）、丙方（2）的股权将于本次增资完成工商变更登记日后4年内进行锁定，并于锁定期内按年等额分期解锁，即每年末可解锁其各自所持有公司股权的25%的股权，未解锁股权不得对外转让。如任一方在锁定期内从目标公司离职，则其未解锁股权应以1元价格按照其他股东登记持股情况按比例转让给其他股东。</w:t>
      </w:r>
    </w:p>
    <w:p>
      <w:pPr>
        <w:numPr>
          <w:ilvl w:val="0"/>
          <w:numId w:val="3"/>
        </w:numPr>
        <w:spacing w:before="312" w:beforeLines="100" w:line="460" w:lineRule="exact"/>
        <w:ind w:hangingChars="177"/>
        <w:outlineLvl w:val="1"/>
        <w:rPr>
          <w:rFonts w:eastAsia="华文细黑"/>
          <w:b/>
        </w:rPr>
      </w:pPr>
      <w:bookmarkStart w:id="3" w:name="_Toc422314076"/>
      <w:r>
        <w:rPr>
          <w:rFonts w:hint="eastAsia" w:eastAsia="华文细黑"/>
          <w:b/>
        </w:rPr>
        <w:t>甲方的特别权利</w:t>
      </w:r>
      <w:bookmarkEnd w:id="3"/>
    </w:p>
    <w:p>
      <w:pPr>
        <w:numPr>
          <w:ilvl w:val="1"/>
          <w:numId w:val="3"/>
        </w:numPr>
        <w:spacing w:line="460" w:lineRule="exact"/>
        <w:rPr>
          <w:rFonts w:eastAsia="华文细黑"/>
          <w:b/>
        </w:rPr>
      </w:pPr>
      <w:r>
        <w:rPr>
          <w:rFonts w:hint="eastAsia" w:eastAsia="华文细黑"/>
          <w:b/>
        </w:rPr>
        <w:t>优先分红权</w:t>
      </w:r>
    </w:p>
    <w:p>
      <w:pPr>
        <w:numPr>
          <w:ilvl w:val="0"/>
          <w:numId w:val="4"/>
        </w:numPr>
        <w:spacing w:line="460" w:lineRule="exact"/>
        <w:rPr>
          <w:rFonts w:eastAsia="华文细黑"/>
        </w:rPr>
      </w:pPr>
      <w:bookmarkStart w:id="4" w:name="_Toc320622361"/>
      <w:bookmarkStart w:id="5" w:name="_Toc320622515"/>
      <w:r>
        <w:rPr>
          <w:rFonts w:eastAsia="华文细黑"/>
        </w:rPr>
        <w:t>未经</w:t>
      </w:r>
      <w:r>
        <w:rPr>
          <w:rFonts w:hint="eastAsia" w:eastAsia="华文细黑"/>
        </w:rPr>
        <w:t>甲方书面同意</w:t>
      </w:r>
      <w:r>
        <w:rPr>
          <w:rFonts w:eastAsia="华文细黑"/>
        </w:rPr>
        <w:t>，</w:t>
      </w:r>
      <w:r>
        <w:rPr>
          <w:rFonts w:hint="eastAsia" w:eastAsia="华文细黑"/>
        </w:rPr>
        <w:t>丙方和目标</w:t>
      </w:r>
      <w:r>
        <w:rPr>
          <w:rFonts w:eastAsia="华文细黑"/>
        </w:rPr>
        <w:t>公司不得</w:t>
      </w:r>
      <w:r>
        <w:rPr>
          <w:rFonts w:hint="eastAsia" w:eastAsia="华文细黑"/>
        </w:rPr>
        <w:t>对任何股东</w:t>
      </w:r>
      <w:r>
        <w:rPr>
          <w:rFonts w:eastAsia="华文细黑"/>
        </w:rPr>
        <w:t>进行</w:t>
      </w:r>
      <w:r>
        <w:rPr>
          <w:rFonts w:hint="eastAsia" w:eastAsia="华文细黑"/>
        </w:rPr>
        <w:t>股息、红利</w:t>
      </w:r>
      <w:r>
        <w:rPr>
          <w:rFonts w:eastAsia="华文细黑"/>
        </w:rPr>
        <w:t>分配。</w:t>
      </w:r>
      <w:bookmarkEnd w:id="4"/>
      <w:bookmarkEnd w:id="5"/>
    </w:p>
    <w:p>
      <w:pPr>
        <w:pStyle w:val="15"/>
        <w:numPr>
          <w:ilvl w:val="0"/>
          <w:numId w:val="4"/>
        </w:numPr>
        <w:spacing w:line="460" w:lineRule="exact"/>
        <w:ind w:firstLineChars="0"/>
        <w:rPr>
          <w:rFonts w:eastAsia="华文细黑"/>
        </w:rPr>
      </w:pPr>
      <w:r>
        <w:rPr>
          <w:rFonts w:hint="eastAsia" w:ascii="微软雅黑" w:hAnsi="微软雅黑" w:eastAsia="微软雅黑"/>
          <w:color w:val="000000"/>
          <w:sz w:val="22"/>
          <w:szCs w:val="22"/>
        </w:rPr>
        <w:t>根据本补充协议约定，丙方及目标公司触发回购义务但尚未履行时，目标公司应进行分红，且应优先向甲方进行分红直至甲方获得相当于投资额每年复利【12】％的内部收益回报率的分红金额；如有余额再根据全体股东持股比例进行分配。</w:t>
      </w:r>
    </w:p>
    <w:p>
      <w:pPr>
        <w:numPr>
          <w:ilvl w:val="1"/>
          <w:numId w:val="3"/>
        </w:numPr>
        <w:spacing w:line="460" w:lineRule="exact"/>
        <w:rPr>
          <w:rFonts w:eastAsia="华文细黑"/>
          <w:b/>
        </w:rPr>
      </w:pPr>
      <w:r>
        <w:rPr>
          <w:rFonts w:hint="eastAsia" w:eastAsia="华文细黑"/>
          <w:b/>
        </w:rPr>
        <w:t>新股优先认购权</w:t>
      </w:r>
    </w:p>
    <w:p>
      <w:pPr>
        <w:spacing w:line="460" w:lineRule="exact"/>
        <w:ind w:left="992"/>
        <w:rPr>
          <w:rFonts w:eastAsia="华文细黑"/>
        </w:rPr>
      </w:pPr>
      <w:r>
        <w:rPr>
          <w:rFonts w:hint="eastAsia" w:eastAsia="华文细黑"/>
        </w:rPr>
        <w:t>本次交易完成后，如目标公司再融资，甲方根据其持有目标公司股权比例有权优先认缴出资。目标公司其他股东如放弃对新增注册资本按其比例的认购，甲方对该放弃部分享有第一序位的优先认购权。</w:t>
      </w:r>
    </w:p>
    <w:p>
      <w:pPr>
        <w:numPr>
          <w:ilvl w:val="1"/>
          <w:numId w:val="3"/>
        </w:numPr>
        <w:spacing w:line="460" w:lineRule="exact"/>
        <w:rPr>
          <w:rFonts w:eastAsia="华文细黑"/>
          <w:b/>
        </w:rPr>
      </w:pPr>
      <w:r>
        <w:rPr>
          <w:rFonts w:hint="eastAsia" w:eastAsia="华文细黑"/>
          <w:b/>
        </w:rPr>
        <w:t>优先购买权</w:t>
      </w:r>
    </w:p>
    <w:p>
      <w:pPr>
        <w:spacing w:line="460" w:lineRule="exact"/>
        <w:ind w:left="992"/>
        <w:rPr>
          <w:rFonts w:eastAsia="华文细黑"/>
        </w:rPr>
      </w:pPr>
      <w:r>
        <w:rPr>
          <w:rFonts w:hint="eastAsia" w:eastAsia="华文细黑"/>
        </w:rPr>
        <w:t>本次交易完成后，丙方转让股权时，同等条件下，甲方拥有较其他股东第一顺位的优先购买权。甲方决定受让股权部分以外部分，其他股东可以主张优先购买权。</w:t>
      </w:r>
    </w:p>
    <w:p>
      <w:pPr>
        <w:numPr>
          <w:ilvl w:val="1"/>
          <w:numId w:val="3"/>
        </w:numPr>
        <w:spacing w:line="460" w:lineRule="exact"/>
        <w:rPr>
          <w:rFonts w:eastAsia="华文细黑"/>
          <w:b/>
        </w:rPr>
      </w:pPr>
      <w:r>
        <w:rPr>
          <w:rFonts w:hint="eastAsia" w:eastAsia="华文细黑"/>
          <w:b/>
        </w:rPr>
        <w:t>领售权</w:t>
      </w:r>
    </w:p>
    <w:p>
      <w:pPr>
        <w:spacing w:line="460" w:lineRule="exact"/>
        <w:ind w:left="992"/>
        <w:rPr>
          <w:rFonts w:eastAsia="华文细黑"/>
        </w:rPr>
      </w:pPr>
      <w:r>
        <w:rPr>
          <w:rFonts w:hint="eastAsia" w:eastAsia="华文细黑"/>
        </w:rPr>
        <w:t>在本轮融资交割结束</w:t>
      </w:r>
      <w:r>
        <w:rPr>
          <w:rFonts w:hint="eastAsia" w:eastAsia="华文细黑"/>
          <w:u w:val="single"/>
        </w:rPr>
        <w:t xml:space="preserve">     </w:t>
      </w:r>
      <w:r>
        <w:rPr>
          <w:rFonts w:hint="eastAsia" w:eastAsia="华文细黑"/>
        </w:rPr>
        <w:t>年后，且在目标公司整体估值不低于</w:t>
      </w:r>
      <w:r>
        <w:rPr>
          <w:rFonts w:hint="eastAsia" w:eastAsia="华文细黑"/>
          <w:u w:val="single"/>
        </w:rPr>
        <w:t xml:space="preserve">     </w:t>
      </w:r>
      <w:r>
        <w:rPr>
          <w:rFonts w:hint="eastAsia" w:eastAsia="华文细黑"/>
        </w:rPr>
        <w:t>亿元人民币的情况下,如甲方提议将目标公司在资本市场整体出售，丙方应予以同意。如有任何一方不愿意出售，那么该等股东应该以不低于第三方的价格和条款购买甲方股权。</w:t>
      </w:r>
    </w:p>
    <w:p>
      <w:pPr>
        <w:numPr>
          <w:ilvl w:val="1"/>
          <w:numId w:val="3"/>
        </w:numPr>
        <w:spacing w:line="460" w:lineRule="exact"/>
        <w:rPr>
          <w:rFonts w:eastAsia="华文细黑"/>
          <w:b/>
        </w:rPr>
      </w:pPr>
      <w:r>
        <w:rPr>
          <w:rFonts w:hint="eastAsia" w:eastAsia="华文细黑"/>
          <w:b/>
        </w:rPr>
        <w:t>随同出售权</w:t>
      </w:r>
    </w:p>
    <w:p>
      <w:pPr>
        <w:spacing w:line="460" w:lineRule="exact"/>
        <w:ind w:left="992"/>
        <w:rPr>
          <w:rFonts w:eastAsia="华文细黑"/>
        </w:rPr>
      </w:pPr>
      <w:r>
        <w:rPr>
          <w:rFonts w:hint="eastAsia" w:eastAsia="华文细黑"/>
        </w:rPr>
        <w:t>丙方承诺并保证：在目标公司合格的</w:t>
      </w:r>
      <w:r>
        <w:rPr>
          <w:rFonts w:eastAsia="华文细黑"/>
        </w:rPr>
        <w:t>IPO</w:t>
      </w:r>
      <w:r>
        <w:rPr>
          <w:rFonts w:hint="eastAsia" w:eastAsia="华文细黑"/>
        </w:rPr>
        <w:t>之前，</w:t>
      </w:r>
      <w:r>
        <w:rPr>
          <w:rFonts w:eastAsia="华文细黑"/>
        </w:rPr>
        <w:t>如果</w:t>
      </w:r>
      <w:r>
        <w:rPr>
          <w:rFonts w:hint="eastAsia" w:eastAsia="华文细黑"/>
        </w:rPr>
        <w:t>丙方</w:t>
      </w:r>
      <w:r>
        <w:rPr>
          <w:rFonts w:eastAsia="华文细黑"/>
        </w:rPr>
        <w:t>计划出售</w:t>
      </w:r>
      <w:r>
        <w:rPr>
          <w:rFonts w:hint="eastAsia" w:eastAsia="华文细黑"/>
        </w:rPr>
        <w:t>目标</w:t>
      </w:r>
      <w:r>
        <w:rPr>
          <w:rFonts w:eastAsia="华文细黑"/>
        </w:rPr>
        <w:t>公司的</w:t>
      </w:r>
      <w:r>
        <w:rPr>
          <w:rFonts w:hint="eastAsia" w:eastAsia="华文细黑"/>
        </w:rPr>
        <w:t>股权（</w:t>
      </w:r>
      <w:r>
        <w:rPr>
          <w:rFonts w:eastAsia="华文细黑"/>
        </w:rPr>
        <w:t>股份</w:t>
      </w:r>
      <w:r>
        <w:rPr>
          <w:rFonts w:hint="eastAsia" w:eastAsia="华文细黑"/>
        </w:rPr>
        <w:t>）</w:t>
      </w:r>
      <w:r>
        <w:rPr>
          <w:rFonts w:eastAsia="华文细黑"/>
        </w:rPr>
        <w:t>给第三方，</w:t>
      </w:r>
      <w:r>
        <w:rPr>
          <w:rFonts w:hint="eastAsia" w:eastAsia="华文细黑"/>
        </w:rPr>
        <w:t>丙方</w:t>
      </w:r>
      <w:r>
        <w:rPr>
          <w:rFonts w:eastAsia="华文细黑"/>
        </w:rPr>
        <w:t>首先</w:t>
      </w:r>
      <w:r>
        <w:rPr>
          <w:rFonts w:hint="eastAsia" w:eastAsia="华文细黑"/>
        </w:rPr>
        <w:t>需</w:t>
      </w:r>
      <w:r>
        <w:rPr>
          <w:rFonts w:eastAsia="华文细黑"/>
        </w:rPr>
        <w:t>保证</w:t>
      </w:r>
      <w:r>
        <w:rPr>
          <w:rFonts w:hint="eastAsia" w:eastAsia="华文细黑"/>
        </w:rPr>
        <w:t>该</w:t>
      </w:r>
      <w:r>
        <w:rPr>
          <w:rFonts w:eastAsia="华文细黑"/>
        </w:rPr>
        <w:t>第三方以同等条件按照</w:t>
      </w:r>
      <w:r>
        <w:rPr>
          <w:rFonts w:hint="eastAsia" w:eastAsia="华文细黑"/>
        </w:rPr>
        <w:t>甲方</w:t>
      </w:r>
      <w:r>
        <w:rPr>
          <w:rFonts w:eastAsia="华文细黑"/>
        </w:rPr>
        <w:t>持股比例购买</w:t>
      </w:r>
      <w:r>
        <w:rPr>
          <w:rFonts w:hint="eastAsia" w:eastAsia="华文细黑"/>
        </w:rPr>
        <w:t>甲方所持目标公司的股权（</w:t>
      </w:r>
      <w:r>
        <w:rPr>
          <w:rFonts w:eastAsia="华文细黑"/>
        </w:rPr>
        <w:t>股份</w:t>
      </w:r>
      <w:r>
        <w:rPr>
          <w:rFonts w:hint="eastAsia" w:eastAsia="华文细黑"/>
        </w:rPr>
        <w:t>）</w:t>
      </w:r>
      <w:r>
        <w:rPr>
          <w:rFonts w:eastAsia="华文细黑"/>
        </w:rPr>
        <w:t>。</w:t>
      </w:r>
      <w:r>
        <w:rPr>
          <w:rFonts w:hint="eastAsia" w:eastAsia="华文细黑"/>
        </w:rPr>
        <w:t>在丙方有出售其所拥有目标公司股权（股份）计划、意图时，应提前15个工作日向甲方发出书面通知，通知内容包括并不限于第三方的名称、联系方式、出售股权（股份）的数量、价格、时间、支付方式等内容，同时，丙方应取得该第三方愿意以同等条件按照其购买丙方股权（股份）的比例购买甲方所持目标公司股权（股份）的书面承诺。</w:t>
      </w:r>
    </w:p>
    <w:p>
      <w:pPr>
        <w:numPr>
          <w:ilvl w:val="1"/>
          <w:numId w:val="3"/>
        </w:numPr>
        <w:spacing w:line="460" w:lineRule="exact"/>
        <w:rPr>
          <w:rFonts w:eastAsia="华文细黑"/>
          <w:b/>
        </w:rPr>
      </w:pPr>
      <w:r>
        <w:rPr>
          <w:rFonts w:hint="eastAsia" w:eastAsia="华文细黑"/>
          <w:b/>
        </w:rPr>
        <w:t>优先清算权</w:t>
      </w:r>
    </w:p>
    <w:p>
      <w:pPr>
        <w:numPr>
          <w:ilvl w:val="0"/>
          <w:numId w:val="5"/>
        </w:numPr>
        <w:spacing w:line="460" w:lineRule="exact"/>
        <w:rPr>
          <w:rFonts w:eastAsia="华文细黑"/>
        </w:rPr>
      </w:pPr>
      <w:r>
        <w:rPr>
          <w:rFonts w:hint="eastAsia" w:eastAsia="华文细黑"/>
        </w:rPr>
        <w:t>目标公司在合格的</w:t>
      </w:r>
      <w:r>
        <w:rPr>
          <w:rFonts w:eastAsia="华文细黑"/>
        </w:rPr>
        <w:t>IPO</w:t>
      </w:r>
      <w:r>
        <w:rPr>
          <w:rFonts w:hint="eastAsia" w:eastAsia="华文细黑"/>
        </w:rPr>
        <w:t>之前发生</w:t>
      </w:r>
      <w:r>
        <w:rPr>
          <w:rFonts w:eastAsia="华文细黑"/>
        </w:rPr>
        <w:t>清算事件</w:t>
      </w:r>
      <w:r>
        <w:rPr>
          <w:rFonts w:hint="eastAsia" w:eastAsia="华文细黑"/>
        </w:rPr>
        <w:t>的，在目标公司依法支付了清算费用、职工工资和劳动保险费用，缴纳所欠税款，清偿目标公司债务后，甲方</w:t>
      </w:r>
      <w:r>
        <w:rPr>
          <w:rFonts w:eastAsia="华文细黑"/>
        </w:rPr>
        <w:t>有权优先于</w:t>
      </w:r>
      <w:r>
        <w:rPr>
          <w:rFonts w:hint="eastAsia" w:eastAsia="华文细黑"/>
        </w:rPr>
        <w:t>目标</w:t>
      </w:r>
      <w:r>
        <w:rPr>
          <w:rFonts w:eastAsia="华文细黑"/>
        </w:rPr>
        <w:t>公司的其他股东取得相当于其</w:t>
      </w:r>
      <w:r>
        <w:rPr>
          <w:rFonts w:hint="eastAsia" w:eastAsia="华文细黑"/>
        </w:rPr>
        <w:t>投资款</w:t>
      </w:r>
      <w:r>
        <w:rPr>
          <w:rFonts w:hint="eastAsia" w:eastAsia="华文细黑"/>
          <w:u w:val="single"/>
        </w:rPr>
        <w:t>120</w:t>
      </w:r>
      <w:r>
        <w:rPr>
          <w:rFonts w:eastAsia="华文细黑"/>
          <w:u w:val="single"/>
        </w:rPr>
        <w:t>%</w:t>
      </w:r>
      <w:r>
        <w:rPr>
          <w:rFonts w:hint="eastAsia" w:eastAsia="华文细黑"/>
        </w:rPr>
        <w:t>的金额，以及持股比例对应的未分配利润</w:t>
      </w:r>
      <w:r>
        <w:rPr>
          <w:rFonts w:eastAsia="华文细黑"/>
        </w:rPr>
        <w:t>（简称“清算优先额”）。</w:t>
      </w:r>
    </w:p>
    <w:p>
      <w:pPr>
        <w:numPr>
          <w:ilvl w:val="0"/>
          <w:numId w:val="5"/>
        </w:numPr>
        <w:spacing w:line="460" w:lineRule="exact"/>
        <w:rPr>
          <w:rFonts w:eastAsia="华文细黑"/>
        </w:rPr>
      </w:pPr>
      <w:r>
        <w:rPr>
          <w:rFonts w:hint="eastAsia" w:eastAsia="华文细黑"/>
        </w:rPr>
        <w:t>在清算优先额得到足额支付之后，任何剩余的可供股东分配的目标公司资金和资产将按持股比例在所有股东（包括但不限于投资人）之间进行分配。若目标公司的资产不足以全额支付甲方的清算优先额，则应以目标公司的所有可分配资产偿付甲方。</w:t>
      </w:r>
    </w:p>
    <w:p>
      <w:pPr>
        <w:numPr>
          <w:ilvl w:val="0"/>
          <w:numId w:val="5"/>
        </w:numPr>
        <w:spacing w:line="460" w:lineRule="exact"/>
        <w:rPr>
          <w:rFonts w:eastAsia="华文细黑"/>
        </w:rPr>
      </w:pPr>
      <w:r>
        <w:rPr>
          <w:rFonts w:hint="eastAsia" w:eastAsia="华文细黑"/>
        </w:rPr>
        <w:t>如果甲方依据前述条款所享有的清算优先权因为法律的限制或其他原因而不能得到保障，则丙方同意以无偿赠与其所应享有的目标公司清算财产、向甲方无偿提供现金/股权补偿，或法律许可的其他方式尽力实现甲方在本补充协议中享有的清算优先权。</w:t>
      </w:r>
    </w:p>
    <w:p>
      <w:pPr>
        <w:numPr>
          <w:ilvl w:val="0"/>
          <w:numId w:val="5"/>
        </w:numPr>
        <w:spacing w:line="460" w:lineRule="exact"/>
        <w:rPr>
          <w:rFonts w:eastAsia="华文细黑"/>
        </w:rPr>
      </w:pPr>
      <w:r>
        <w:rPr>
          <w:rFonts w:hint="eastAsia" w:eastAsia="华文细黑"/>
        </w:rPr>
        <w:t>为了本补充协议的目的，除法律规定的法定清算事由外，除非甲方以书面形式作出相反确认，否则以下事由应视为目标公司的“清算事件”：</w:t>
      </w:r>
    </w:p>
    <w:p>
      <w:pPr>
        <w:numPr>
          <w:ilvl w:val="0"/>
          <w:numId w:val="6"/>
        </w:numPr>
        <w:tabs>
          <w:tab w:val="left" w:pos="2410"/>
        </w:tabs>
        <w:spacing w:line="460" w:lineRule="exact"/>
        <w:rPr>
          <w:rFonts w:eastAsia="华文细黑"/>
        </w:rPr>
      </w:pPr>
      <w:r>
        <w:rPr>
          <w:rFonts w:hint="eastAsia" w:eastAsia="华文细黑"/>
        </w:rPr>
        <w:t>出售、转让目标公司全部或实质上全部的资产、业务或对其进行任何其他形式的处置；</w:t>
      </w:r>
    </w:p>
    <w:p>
      <w:pPr>
        <w:numPr>
          <w:ilvl w:val="0"/>
          <w:numId w:val="6"/>
        </w:numPr>
        <w:tabs>
          <w:tab w:val="left" w:pos="2410"/>
        </w:tabs>
        <w:spacing w:line="460" w:lineRule="exact"/>
        <w:rPr>
          <w:rFonts w:eastAsia="华文细黑"/>
        </w:rPr>
      </w:pPr>
      <w:r>
        <w:rPr>
          <w:rFonts w:hint="eastAsia" w:eastAsia="华文细黑"/>
        </w:rPr>
        <w:t>将目标公司的知识产权全部或实质上排他地且不可撤销地授予任何第三方；</w:t>
      </w:r>
    </w:p>
    <w:p>
      <w:pPr>
        <w:numPr>
          <w:ilvl w:val="0"/>
          <w:numId w:val="6"/>
        </w:numPr>
        <w:tabs>
          <w:tab w:val="left" w:pos="2410"/>
        </w:tabs>
        <w:spacing w:line="460" w:lineRule="exact"/>
        <w:rPr>
          <w:rFonts w:eastAsia="华文细黑"/>
        </w:rPr>
      </w:pPr>
      <w:r>
        <w:rPr>
          <w:rFonts w:hint="eastAsia" w:eastAsia="华文细黑"/>
        </w:rPr>
        <w:t>导致目标公司控制权发生变化的任何形式的交易。</w:t>
      </w:r>
    </w:p>
    <w:p>
      <w:pPr>
        <w:numPr>
          <w:ilvl w:val="1"/>
          <w:numId w:val="3"/>
        </w:numPr>
        <w:spacing w:line="460" w:lineRule="exact"/>
        <w:rPr>
          <w:rFonts w:eastAsia="华文细黑"/>
          <w:b/>
        </w:rPr>
      </w:pPr>
      <w:r>
        <w:rPr>
          <w:rFonts w:hint="eastAsia" w:eastAsia="华文细黑"/>
          <w:b/>
        </w:rPr>
        <w:t>反稀释权</w:t>
      </w:r>
    </w:p>
    <w:p>
      <w:pPr>
        <w:spacing w:line="460" w:lineRule="exact"/>
        <w:ind w:left="992"/>
        <w:rPr>
          <w:rFonts w:eastAsia="华文细黑"/>
        </w:rPr>
      </w:pPr>
      <w:r>
        <w:rPr>
          <w:rFonts w:hint="eastAsia" w:eastAsia="华文细黑"/>
        </w:rPr>
        <w:t>本次交易完成后，如目标公司再融资价格或股权转让价格（指每股或每元注册资本价格）低于甲方对目标公司的投资成本，则丙方应以现金（或无偿转让股权）方式补偿甲方，使甲方投资成本不高于目标公司再融资价格或股权转让价格。</w:t>
      </w:r>
    </w:p>
    <w:p>
      <w:pPr>
        <w:numPr>
          <w:ilvl w:val="1"/>
          <w:numId w:val="3"/>
        </w:numPr>
        <w:spacing w:line="460" w:lineRule="exact"/>
        <w:rPr>
          <w:rFonts w:eastAsia="华文细黑"/>
          <w:b/>
        </w:rPr>
      </w:pPr>
      <w:r>
        <w:rPr>
          <w:rFonts w:hint="eastAsia" w:eastAsia="华文细黑"/>
          <w:b/>
        </w:rPr>
        <w:t>优先投资权</w:t>
      </w:r>
    </w:p>
    <w:p>
      <w:pPr>
        <w:spacing w:line="460" w:lineRule="exact"/>
        <w:ind w:left="992"/>
        <w:rPr>
          <w:rFonts w:eastAsia="华文细黑"/>
        </w:rPr>
      </w:pPr>
      <w:r>
        <w:rPr>
          <w:rFonts w:hint="eastAsia" w:eastAsia="华文细黑"/>
        </w:rPr>
        <w:t>如目标公司发展不及预期，丙方在本次交易完成后再次创业时，则甲方：</w:t>
      </w:r>
    </w:p>
    <w:p>
      <w:pPr>
        <w:numPr>
          <w:ilvl w:val="0"/>
          <w:numId w:val="7"/>
        </w:numPr>
        <w:spacing w:line="460" w:lineRule="exact"/>
        <w:rPr>
          <w:rFonts w:eastAsia="华文细黑"/>
        </w:rPr>
      </w:pPr>
      <w:r>
        <w:rPr>
          <w:rFonts w:hint="eastAsia" w:eastAsia="华文细黑"/>
        </w:rPr>
        <w:t>享有优先投资权，且</w:t>
      </w:r>
      <w:r>
        <w:rPr>
          <w:rFonts w:hint="eastAsia" w:eastAsia="华文细黑"/>
          <w:u w:val="single"/>
        </w:rPr>
        <w:t>丙方（1）或丙方（2）</w:t>
      </w:r>
      <w:r>
        <w:rPr>
          <w:rFonts w:hint="eastAsia" w:eastAsia="华文细黑"/>
        </w:rPr>
        <w:t>给予甲方的投资额度应不低于20%。</w:t>
      </w:r>
    </w:p>
    <w:p>
      <w:pPr>
        <w:numPr>
          <w:ilvl w:val="0"/>
          <w:numId w:val="7"/>
        </w:numPr>
        <w:spacing w:line="460" w:lineRule="exact"/>
        <w:rPr>
          <w:rFonts w:eastAsia="华文细黑"/>
        </w:rPr>
      </w:pPr>
      <w:r>
        <w:rPr>
          <w:rFonts w:hint="eastAsia" w:eastAsia="华文细黑"/>
        </w:rPr>
        <w:t>本次向目标公司进行增资的现金金额应根据届时</w:t>
      </w:r>
      <w:r>
        <w:rPr>
          <w:rFonts w:hint="eastAsia" w:eastAsia="华文细黑"/>
          <w:u w:val="single"/>
        </w:rPr>
        <w:t>丙方（1）或丙方（2）</w:t>
      </w:r>
      <w:r>
        <w:rPr>
          <w:rFonts w:hint="eastAsia" w:eastAsia="华文细黑"/>
        </w:rPr>
        <w:t>再次创业项目的估值计算，换算成甲方应无偿享有的该项目股权比例。前述约定，由各方采取合法合规路径实现。</w:t>
      </w:r>
    </w:p>
    <w:p>
      <w:pPr>
        <w:spacing w:line="460" w:lineRule="exact"/>
        <w:ind w:left="992"/>
        <w:rPr>
          <w:rFonts w:eastAsia="华文细黑"/>
        </w:rPr>
      </w:pPr>
      <w:r>
        <w:rPr>
          <w:rFonts w:hint="eastAsia" w:eastAsia="华文细黑"/>
        </w:rPr>
        <w:t>如</w:t>
      </w:r>
      <w:r>
        <w:rPr>
          <w:rFonts w:hint="eastAsia" w:eastAsia="华文细黑"/>
          <w:u w:val="single"/>
        </w:rPr>
        <w:t>丙方（1）或丙方（2）</w:t>
      </w:r>
      <w:r>
        <w:rPr>
          <w:rFonts w:hint="eastAsia" w:eastAsia="华文细黑"/>
        </w:rPr>
        <w:t>再次创业项目仍未实现甲方合理退出，则其后续创业项目应遵守本协议第2.8条约定。</w:t>
      </w:r>
    </w:p>
    <w:p>
      <w:pPr>
        <w:numPr>
          <w:ilvl w:val="1"/>
          <w:numId w:val="3"/>
        </w:numPr>
        <w:spacing w:line="460" w:lineRule="exact"/>
        <w:rPr>
          <w:rFonts w:eastAsia="华文细黑"/>
          <w:b/>
        </w:rPr>
      </w:pPr>
      <w:r>
        <w:rPr>
          <w:rFonts w:hint="eastAsia" w:eastAsia="华文细黑"/>
          <w:b/>
        </w:rPr>
        <w:t>优先出售权</w:t>
      </w:r>
    </w:p>
    <w:p>
      <w:pPr>
        <w:spacing w:line="460" w:lineRule="exact"/>
        <w:ind w:left="992"/>
        <w:rPr>
          <w:rFonts w:eastAsia="华文细黑"/>
        </w:rPr>
      </w:pPr>
      <w:r>
        <w:rPr>
          <w:rFonts w:hint="eastAsia" w:eastAsia="华文细黑"/>
        </w:rPr>
        <w:t>目标公司后续融资时，如甲方同意出售所持目标公司股权的部分或全部，丙方应要求后续投资人同意以购买甲方所同意出售股权的方式进入目标公司。</w:t>
      </w:r>
    </w:p>
    <w:p>
      <w:pPr>
        <w:numPr>
          <w:ilvl w:val="1"/>
          <w:numId w:val="3"/>
        </w:numPr>
        <w:spacing w:line="460" w:lineRule="exact"/>
        <w:rPr>
          <w:rFonts w:eastAsia="华文细黑"/>
          <w:b/>
        </w:rPr>
      </w:pPr>
      <w:r>
        <w:rPr>
          <w:rFonts w:hint="eastAsia" w:eastAsia="华文细黑"/>
          <w:b/>
        </w:rPr>
        <w:t>股权转让豁免权</w:t>
      </w:r>
    </w:p>
    <w:p>
      <w:pPr>
        <w:spacing w:line="460" w:lineRule="exact"/>
        <w:ind w:left="992"/>
        <w:rPr>
          <w:rFonts w:eastAsia="华文细黑"/>
        </w:rPr>
      </w:pPr>
      <w:r>
        <w:rPr>
          <w:rFonts w:hint="eastAsia" w:eastAsia="华文细黑"/>
        </w:rPr>
        <w:t>各方同意，本次交易完成后，甲方有权将持有目标公司的部分或者全部股权转让给甲方指定的第三方。丙方应对于该部分转让股权，放弃优先购买权，并应配合签署相关文件完成该次股权转让。</w:t>
      </w:r>
    </w:p>
    <w:p>
      <w:pPr>
        <w:numPr>
          <w:ilvl w:val="1"/>
          <w:numId w:val="3"/>
        </w:numPr>
        <w:spacing w:line="460" w:lineRule="exact"/>
        <w:rPr>
          <w:rFonts w:eastAsia="华文细黑"/>
          <w:b/>
        </w:rPr>
      </w:pPr>
      <w:r>
        <w:rPr>
          <w:rFonts w:hint="eastAsia" w:eastAsia="华文细黑"/>
          <w:b/>
        </w:rPr>
        <w:t>同等待遇</w:t>
      </w:r>
    </w:p>
    <w:p>
      <w:pPr>
        <w:spacing w:line="460" w:lineRule="exact"/>
        <w:ind w:left="992"/>
        <w:rPr>
          <w:rFonts w:eastAsia="华文细黑"/>
        </w:rPr>
      </w:pPr>
      <w:r>
        <w:rPr>
          <w:rFonts w:hint="eastAsia" w:eastAsia="华文细黑"/>
        </w:rPr>
        <w:t>本交易完成后，目标公司进行任何形式的后续融资（无论是股权融资或债权融资）并且目标公司给予任一后续投资人享有的权利优于甲方享有的权利，除非经甲方书面同意，否则甲方将自动享有该等权利。各方应促使目标公司通过相关决议或其他任何文件使甲方享有该等权利。</w:t>
      </w:r>
    </w:p>
    <w:p>
      <w:pPr>
        <w:pStyle w:val="2"/>
        <w:keepNext w:val="0"/>
        <w:keepLines w:val="0"/>
        <w:widowControl/>
        <w:tabs>
          <w:tab w:val="left" w:pos="567"/>
        </w:tabs>
        <w:spacing w:before="0" w:after="240" w:line="460" w:lineRule="exact"/>
        <w:ind w:firstLine="360" w:firstLineChars="150"/>
        <w:jc w:val="left"/>
        <w:rPr>
          <w:rFonts w:ascii="华文细黑" w:hAnsi="华文细黑" w:eastAsia="华文细黑"/>
          <w:sz w:val="24"/>
          <w:szCs w:val="24"/>
        </w:rPr>
      </w:pPr>
      <w:r>
        <w:rPr>
          <w:rFonts w:hint="eastAsia" w:ascii="华文细黑" w:hAnsi="华文细黑" w:eastAsia="华文细黑"/>
          <w:b w:val="0"/>
          <w:sz w:val="24"/>
          <w:szCs w:val="24"/>
        </w:rPr>
        <w:t xml:space="preserve">2.12  </w:t>
      </w:r>
      <w:r>
        <w:rPr>
          <w:rFonts w:ascii="华文细黑" w:hAnsi="华文细黑" w:eastAsia="华文细黑" w:cs="Times New Roman"/>
          <w:sz w:val="24"/>
          <w:szCs w:val="24"/>
        </w:rPr>
        <w:t>回购</w:t>
      </w:r>
      <w:r>
        <w:rPr>
          <w:rFonts w:hint="eastAsia" w:ascii="华文细黑" w:hAnsi="华文细黑" w:eastAsia="华文细黑"/>
          <w:sz w:val="24"/>
          <w:szCs w:val="24"/>
        </w:rPr>
        <w:t>权</w:t>
      </w:r>
    </w:p>
    <w:p>
      <w:pPr>
        <w:pStyle w:val="2"/>
        <w:keepNext w:val="0"/>
        <w:keepLines w:val="0"/>
        <w:widowControl/>
        <w:tabs>
          <w:tab w:val="left" w:pos="567"/>
        </w:tabs>
        <w:spacing w:before="0" w:after="240" w:line="460" w:lineRule="exact"/>
        <w:ind w:firstLine="480" w:firstLineChars="200"/>
        <w:jc w:val="left"/>
        <w:rPr>
          <w:rFonts w:ascii="华文细黑" w:hAnsi="华文细黑" w:eastAsia="华文细黑" w:cs="Times New Roman"/>
          <w:b w:val="0"/>
          <w:sz w:val="24"/>
          <w:szCs w:val="24"/>
        </w:rPr>
      </w:pPr>
      <w:r>
        <w:rPr>
          <w:rFonts w:hint="eastAsia" w:ascii="华文细黑" w:hAnsi="华文细黑" w:eastAsia="华文细黑" w:cs="Times New Roman"/>
          <w:b w:val="0"/>
          <w:sz w:val="24"/>
          <w:szCs w:val="24"/>
        </w:rPr>
        <w:t>（1）</w:t>
      </w:r>
      <w:r>
        <w:rPr>
          <w:rFonts w:ascii="华文细黑" w:hAnsi="华文细黑" w:eastAsia="华文细黑" w:cs="Times New Roman"/>
          <w:b w:val="0"/>
          <w:sz w:val="24"/>
          <w:szCs w:val="24"/>
        </w:rPr>
        <w:t>在发生</w:t>
      </w:r>
      <w:r>
        <w:rPr>
          <w:rFonts w:hint="eastAsia" w:ascii="华文细黑" w:hAnsi="华文细黑" w:eastAsia="华文细黑" w:cs="Times New Roman"/>
          <w:b w:val="0"/>
          <w:sz w:val="24"/>
          <w:szCs w:val="24"/>
        </w:rPr>
        <w:t>本</w:t>
      </w:r>
      <w:r>
        <w:rPr>
          <w:rFonts w:ascii="华文细黑" w:hAnsi="华文细黑" w:eastAsia="华文细黑" w:cs="Times New Roman"/>
          <w:b w:val="0"/>
          <w:sz w:val="24"/>
          <w:szCs w:val="24"/>
        </w:rPr>
        <w:t>条</w:t>
      </w:r>
      <w:r>
        <w:rPr>
          <w:rFonts w:hint="eastAsia" w:ascii="华文细黑" w:hAnsi="华文细黑" w:eastAsia="华文细黑" w:cs="Times New Roman"/>
          <w:b w:val="0"/>
          <w:sz w:val="24"/>
          <w:szCs w:val="24"/>
        </w:rPr>
        <w:t>第（2）项</w:t>
      </w:r>
      <w:r>
        <w:rPr>
          <w:rFonts w:ascii="华文细黑" w:hAnsi="华文细黑" w:eastAsia="华文细黑" w:cs="Times New Roman"/>
          <w:b w:val="0"/>
          <w:sz w:val="24"/>
          <w:szCs w:val="24"/>
        </w:rPr>
        <w:t>所述的回购触发事件时，根据</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的要求，</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应当有权（但非义务）要求</w:t>
      </w:r>
      <w:r>
        <w:rPr>
          <w:rFonts w:hint="eastAsia" w:ascii="华文细黑" w:hAnsi="华文细黑" w:eastAsia="华文细黑"/>
          <w:b w:val="0"/>
          <w:sz w:val="24"/>
          <w:szCs w:val="24"/>
        </w:rPr>
        <w:t>丙方</w:t>
      </w:r>
      <w:r>
        <w:rPr>
          <w:rFonts w:ascii="华文细黑" w:hAnsi="华文细黑" w:eastAsia="华文细黑" w:cs="Times New Roman"/>
          <w:b w:val="0"/>
          <w:sz w:val="24"/>
          <w:szCs w:val="24"/>
        </w:rPr>
        <w:t>按照回购价格（定义见下文）购买</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持有的全部或部分公司股权（“</w:t>
      </w:r>
      <w:r>
        <w:rPr>
          <w:rFonts w:ascii="华文细黑" w:hAnsi="华文细黑" w:eastAsia="华文细黑" w:cs="Times New Roman"/>
          <w:b w:val="0"/>
          <w:sz w:val="24"/>
          <w:szCs w:val="24"/>
          <w:u w:val="single"/>
        </w:rPr>
        <w:t>回购股权</w:t>
      </w:r>
      <w:r>
        <w:rPr>
          <w:rFonts w:ascii="华文细黑" w:hAnsi="华文细黑" w:eastAsia="华文细黑" w:cs="Times New Roman"/>
          <w:b w:val="0"/>
          <w:sz w:val="24"/>
          <w:szCs w:val="24"/>
        </w:rPr>
        <w:t>”）（“</w:t>
      </w:r>
      <w:r>
        <w:rPr>
          <w:rFonts w:ascii="华文细黑" w:hAnsi="华文细黑" w:eastAsia="华文细黑" w:cs="Times New Roman"/>
          <w:b w:val="0"/>
          <w:sz w:val="24"/>
          <w:szCs w:val="24"/>
          <w:u w:val="single"/>
        </w:rPr>
        <w:t>回购权</w:t>
      </w:r>
      <w:r>
        <w:rPr>
          <w:rFonts w:ascii="华文细黑" w:hAnsi="华文细黑" w:eastAsia="华文细黑" w:cs="Times New Roman"/>
          <w:b w:val="0"/>
          <w:sz w:val="24"/>
          <w:szCs w:val="24"/>
        </w:rPr>
        <w:t>”）。</w:t>
      </w:r>
    </w:p>
    <w:p>
      <w:pPr>
        <w:pStyle w:val="2"/>
        <w:keepNext w:val="0"/>
        <w:keepLines w:val="0"/>
        <w:widowControl/>
        <w:tabs>
          <w:tab w:val="left" w:pos="567"/>
        </w:tabs>
        <w:spacing w:before="0" w:after="240" w:line="460" w:lineRule="exact"/>
        <w:ind w:firstLine="480" w:firstLineChars="200"/>
        <w:jc w:val="left"/>
        <w:rPr>
          <w:rFonts w:ascii="华文细黑" w:hAnsi="华文细黑" w:eastAsia="华文细黑"/>
          <w:b w:val="0"/>
          <w:sz w:val="24"/>
          <w:szCs w:val="24"/>
        </w:rPr>
      </w:pPr>
      <w:r>
        <w:rPr>
          <w:rFonts w:hint="eastAsia" w:ascii="华文细黑" w:hAnsi="华文细黑" w:eastAsia="华文细黑" w:cs="Times New Roman"/>
          <w:b w:val="0"/>
          <w:sz w:val="24"/>
          <w:szCs w:val="24"/>
        </w:rPr>
        <w:t>（2）</w:t>
      </w:r>
      <w:r>
        <w:rPr>
          <w:rFonts w:ascii="华文细黑" w:hAnsi="华文细黑" w:eastAsia="华文细黑" w:cs="Times New Roman"/>
          <w:b w:val="0"/>
          <w:sz w:val="24"/>
          <w:szCs w:val="24"/>
        </w:rPr>
        <w:t>在下述任意一项事件（“</w:t>
      </w:r>
      <w:r>
        <w:rPr>
          <w:rFonts w:ascii="华文细黑" w:hAnsi="华文细黑" w:eastAsia="华文细黑" w:cs="Times New Roman"/>
          <w:b w:val="0"/>
          <w:sz w:val="24"/>
          <w:szCs w:val="24"/>
          <w:u w:val="single"/>
        </w:rPr>
        <w:t>回购触发事件</w:t>
      </w:r>
      <w:r>
        <w:rPr>
          <w:rFonts w:ascii="华文细黑" w:hAnsi="华文细黑" w:eastAsia="华文细黑" w:cs="Times New Roman"/>
          <w:b w:val="0"/>
          <w:sz w:val="24"/>
          <w:szCs w:val="24"/>
        </w:rPr>
        <w:t>”）发生时，</w:t>
      </w:r>
      <w:r>
        <w:rPr>
          <w:rFonts w:hint="eastAsia" w:ascii="华文细黑" w:hAnsi="华文细黑" w:eastAsia="华文细黑"/>
          <w:b w:val="0"/>
          <w:sz w:val="24"/>
          <w:szCs w:val="24"/>
        </w:rPr>
        <w:t>甲方</w:t>
      </w:r>
      <w:r>
        <w:rPr>
          <w:rFonts w:ascii="华文细黑" w:hAnsi="华文细黑" w:eastAsia="华文细黑" w:cs="Times New Roman"/>
          <w:b w:val="0"/>
          <w:sz w:val="24"/>
          <w:szCs w:val="24"/>
        </w:rPr>
        <w:t>有权行使其回购权：</w:t>
      </w:r>
      <w:r>
        <w:rPr>
          <w:rFonts w:hint="eastAsia" w:ascii="华文细黑" w:hAnsi="华文细黑" w:eastAsia="华文细黑"/>
          <w:b w:val="0"/>
          <w:sz w:val="24"/>
          <w:szCs w:val="24"/>
        </w:rPr>
        <w:t>乙方</w:t>
      </w:r>
      <w:r>
        <w:rPr>
          <w:rFonts w:ascii="华文细黑" w:hAnsi="华文细黑" w:eastAsia="华文细黑"/>
          <w:b w:val="0"/>
          <w:sz w:val="24"/>
          <w:szCs w:val="24"/>
        </w:rPr>
        <w:t>或</w:t>
      </w:r>
      <w:r>
        <w:rPr>
          <w:rFonts w:hint="eastAsia" w:ascii="华文细黑" w:hAnsi="华文细黑" w:eastAsia="华文细黑"/>
          <w:b w:val="0"/>
          <w:sz w:val="24"/>
          <w:szCs w:val="24"/>
        </w:rPr>
        <w:t>丙方</w:t>
      </w:r>
      <w:r>
        <w:rPr>
          <w:rFonts w:ascii="华文细黑" w:hAnsi="华文细黑" w:eastAsia="华文细黑"/>
          <w:b w:val="0"/>
          <w:sz w:val="24"/>
          <w:szCs w:val="24"/>
        </w:rPr>
        <w:t>实质性地违反本</w:t>
      </w:r>
      <w:r>
        <w:rPr>
          <w:rFonts w:hint="eastAsia" w:ascii="华文细黑" w:hAnsi="华文细黑" w:eastAsia="华文细黑"/>
          <w:b w:val="0"/>
          <w:sz w:val="24"/>
          <w:szCs w:val="24"/>
        </w:rPr>
        <w:t>补充</w:t>
      </w:r>
      <w:r>
        <w:rPr>
          <w:rFonts w:ascii="华文细黑" w:hAnsi="华文细黑" w:eastAsia="华文细黑"/>
          <w:b w:val="0"/>
          <w:sz w:val="24"/>
          <w:szCs w:val="24"/>
        </w:rPr>
        <w:t>协议、</w:t>
      </w:r>
      <w:r>
        <w:rPr>
          <w:rFonts w:hint="eastAsia" w:ascii="华文细黑" w:hAnsi="华文细黑" w:eastAsia="华文细黑"/>
          <w:b w:val="0"/>
          <w:sz w:val="24"/>
          <w:szCs w:val="24"/>
        </w:rPr>
        <w:t>投资协议书、</w:t>
      </w:r>
      <w:r>
        <w:rPr>
          <w:rFonts w:ascii="华文细黑" w:hAnsi="华文细黑" w:eastAsia="华文细黑"/>
          <w:b w:val="0"/>
          <w:sz w:val="24"/>
          <w:szCs w:val="24"/>
        </w:rPr>
        <w:t>章程或者与</w:t>
      </w:r>
      <w:r>
        <w:rPr>
          <w:rFonts w:hint="eastAsia" w:ascii="华文细黑" w:hAnsi="华文细黑" w:eastAsia="华文细黑"/>
          <w:b w:val="0"/>
          <w:sz w:val="24"/>
          <w:szCs w:val="24"/>
        </w:rPr>
        <w:t>本补充协议或投资协议书或者其他生效协议</w:t>
      </w:r>
      <w:r>
        <w:rPr>
          <w:rFonts w:ascii="华文细黑" w:hAnsi="华文细黑" w:eastAsia="华文细黑"/>
          <w:b w:val="0"/>
          <w:sz w:val="24"/>
          <w:szCs w:val="24"/>
        </w:rPr>
        <w:t>项下的增资认购或股权转让相关的各项规定。</w:t>
      </w:r>
    </w:p>
    <w:p>
      <w:pPr>
        <w:pStyle w:val="2"/>
        <w:keepNext w:val="0"/>
        <w:keepLines w:val="0"/>
        <w:widowControl/>
        <w:tabs>
          <w:tab w:val="left" w:pos="567"/>
        </w:tabs>
        <w:spacing w:before="0" w:after="240" w:line="460" w:lineRule="exact"/>
        <w:ind w:firstLine="480" w:firstLineChars="200"/>
        <w:jc w:val="left"/>
        <w:rPr>
          <w:rFonts w:ascii="华文细黑" w:hAnsi="华文细黑" w:eastAsia="华文细黑"/>
          <w:b w:val="0"/>
          <w:sz w:val="24"/>
          <w:szCs w:val="24"/>
        </w:rPr>
      </w:pPr>
      <w:r>
        <w:rPr>
          <w:rFonts w:hint="eastAsia" w:ascii="华文细黑" w:hAnsi="华文细黑" w:eastAsia="华文细黑"/>
          <w:b w:val="0"/>
          <w:sz w:val="24"/>
          <w:szCs w:val="24"/>
        </w:rPr>
        <w:t>（3）</w:t>
      </w:r>
      <w:r>
        <w:rPr>
          <w:rFonts w:ascii="华文细黑" w:hAnsi="华文细黑" w:eastAsia="华文细黑"/>
          <w:b w:val="0"/>
          <w:sz w:val="24"/>
          <w:szCs w:val="24"/>
        </w:rPr>
        <w:t>如果</w:t>
      </w:r>
      <w:r>
        <w:rPr>
          <w:rFonts w:hint="eastAsia" w:ascii="华文细黑" w:hAnsi="华文细黑" w:eastAsia="华文细黑"/>
          <w:b w:val="0"/>
          <w:sz w:val="24"/>
          <w:szCs w:val="24"/>
        </w:rPr>
        <w:t>甲方</w:t>
      </w:r>
      <w:r>
        <w:rPr>
          <w:rFonts w:ascii="华文细黑" w:hAnsi="华文细黑" w:eastAsia="华文细黑"/>
          <w:b w:val="0"/>
          <w:sz w:val="24"/>
          <w:szCs w:val="24"/>
        </w:rPr>
        <w:t>决定行使其回购权，其应向</w:t>
      </w:r>
      <w:r>
        <w:rPr>
          <w:rFonts w:hint="eastAsia" w:ascii="华文细黑" w:hAnsi="华文细黑" w:eastAsia="华文细黑"/>
          <w:b w:val="0"/>
          <w:sz w:val="24"/>
          <w:szCs w:val="24"/>
        </w:rPr>
        <w:t>丙方</w:t>
      </w:r>
      <w:r>
        <w:rPr>
          <w:rFonts w:ascii="华文细黑" w:hAnsi="华文细黑" w:eastAsia="华文细黑"/>
          <w:b w:val="0"/>
          <w:sz w:val="24"/>
          <w:szCs w:val="24"/>
        </w:rPr>
        <w:t>发出记载要求</w:t>
      </w:r>
      <w:r>
        <w:rPr>
          <w:rFonts w:hint="eastAsia" w:ascii="华文细黑" w:hAnsi="华文细黑" w:eastAsia="华文细黑"/>
          <w:b w:val="0"/>
          <w:sz w:val="24"/>
          <w:szCs w:val="24"/>
        </w:rPr>
        <w:t>丙方</w:t>
      </w:r>
      <w:r>
        <w:rPr>
          <w:rFonts w:ascii="华文细黑" w:hAnsi="华文细黑" w:eastAsia="华文细黑"/>
          <w:b w:val="0"/>
          <w:sz w:val="24"/>
          <w:szCs w:val="24"/>
        </w:rPr>
        <w:t>回购相关回购股权的数量与日期的书面通知（“</w:t>
      </w:r>
      <w:r>
        <w:rPr>
          <w:rFonts w:ascii="华文细黑" w:hAnsi="华文细黑" w:eastAsia="华文细黑"/>
          <w:b w:val="0"/>
          <w:sz w:val="24"/>
          <w:szCs w:val="24"/>
          <w:u w:val="single"/>
        </w:rPr>
        <w:t>回购通知</w:t>
      </w:r>
      <w:r>
        <w:rPr>
          <w:rFonts w:ascii="华文细黑" w:hAnsi="华文细黑" w:eastAsia="华文细黑"/>
          <w:b w:val="0"/>
          <w:sz w:val="24"/>
          <w:szCs w:val="24"/>
        </w:rPr>
        <w:t>”），</w:t>
      </w:r>
      <w:r>
        <w:rPr>
          <w:rFonts w:hint="eastAsia" w:ascii="华文细黑" w:hAnsi="华文细黑" w:eastAsia="华文细黑"/>
          <w:b w:val="0"/>
          <w:sz w:val="24"/>
          <w:szCs w:val="24"/>
        </w:rPr>
        <w:t>丙方</w:t>
      </w:r>
      <w:r>
        <w:rPr>
          <w:rFonts w:ascii="华文细黑" w:hAnsi="华文细黑" w:eastAsia="华文细黑"/>
          <w:b w:val="0"/>
          <w:sz w:val="24"/>
          <w:szCs w:val="24"/>
        </w:rPr>
        <w:t>应当在收到回购通知后六十（60）天内（“</w:t>
      </w:r>
      <w:r>
        <w:rPr>
          <w:rFonts w:ascii="华文细黑" w:hAnsi="华文细黑" w:eastAsia="华文细黑"/>
          <w:b w:val="0"/>
          <w:sz w:val="24"/>
          <w:szCs w:val="24"/>
          <w:u w:val="single"/>
        </w:rPr>
        <w:t>回购期限</w:t>
      </w:r>
      <w:r>
        <w:rPr>
          <w:rFonts w:ascii="华文细黑" w:hAnsi="华文细黑" w:eastAsia="华文细黑"/>
          <w:b w:val="0"/>
          <w:sz w:val="24"/>
          <w:szCs w:val="24"/>
        </w:rPr>
        <w:t>”），以下述价格中较高者（“</w:t>
      </w:r>
      <w:r>
        <w:rPr>
          <w:rFonts w:ascii="华文细黑" w:hAnsi="华文细黑" w:eastAsia="华文细黑"/>
          <w:b w:val="0"/>
          <w:sz w:val="24"/>
          <w:szCs w:val="24"/>
          <w:u w:val="single"/>
        </w:rPr>
        <w:t>回购价格</w:t>
      </w:r>
      <w:r>
        <w:rPr>
          <w:rFonts w:ascii="华文细黑" w:hAnsi="华文细黑" w:eastAsia="华文细黑"/>
          <w:b w:val="0"/>
          <w:sz w:val="24"/>
          <w:szCs w:val="24"/>
        </w:rPr>
        <w:t>”）购买相关回购股权：</w:t>
      </w:r>
      <w:r>
        <w:rPr>
          <w:rFonts w:hint="eastAsia" w:ascii="华文细黑" w:hAnsi="华文细黑" w:eastAsia="华文细黑"/>
          <w:b w:val="0"/>
          <w:sz w:val="24"/>
          <w:szCs w:val="24"/>
        </w:rPr>
        <w:t>1</w:t>
      </w:r>
      <w:r>
        <w:rPr>
          <w:rFonts w:ascii="华文细黑" w:hAnsi="华文细黑" w:eastAsia="华文细黑"/>
          <w:b w:val="0"/>
          <w:sz w:val="24"/>
          <w:szCs w:val="24"/>
        </w:rPr>
        <w:t>）就回购股权支付的认购价，加上按照其认购价以年回报率百分之十</w:t>
      </w:r>
      <w:r>
        <w:rPr>
          <w:rFonts w:hint="eastAsia" w:ascii="华文细黑" w:hAnsi="华文细黑" w:eastAsia="华文细黑"/>
          <w:b w:val="0"/>
          <w:sz w:val="24"/>
          <w:szCs w:val="24"/>
        </w:rPr>
        <w:t>二</w:t>
      </w:r>
      <w:r>
        <w:rPr>
          <w:rFonts w:ascii="华文细黑" w:hAnsi="华文细黑" w:eastAsia="华文细黑"/>
          <w:b w:val="0"/>
          <w:sz w:val="24"/>
          <w:szCs w:val="24"/>
        </w:rPr>
        <w:t>（</w:t>
      </w:r>
      <w:r>
        <w:rPr>
          <w:rFonts w:hint="eastAsia" w:ascii="华文细黑" w:hAnsi="华文细黑" w:eastAsia="华文细黑"/>
          <w:b w:val="0"/>
          <w:sz w:val="24"/>
          <w:szCs w:val="24"/>
        </w:rPr>
        <w:t>12</w:t>
      </w:r>
      <w:r>
        <w:rPr>
          <w:rFonts w:ascii="华文细黑" w:hAnsi="华文细黑" w:eastAsia="华文细黑"/>
          <w:b w:val="0"/>
          <w:sz w:val="24"/>
          <w:szCs w:val="24"/>
        </w:rPr>
        <w:t>％）计算的利润，并减去已分配的利润；或</w:t>
      </w:r>
      <w:r>
        <w:rPr>
          <w:rFonts w:hint="eastAsia" w:ascii="华文细黑" w:hAnsi="华文细黑" w:eastAsia="华文细黑"/>
          <w:b w:val="0"/>
          <w:sz w:val="24"/>
          <w:szCs w:val="24"/>
        </w:rPr>
        <w:t>2</w:t>
      </w:r>
      <w:r>
        <w:rPr>
          <w:rFonts w:ascii="华文细黑" w:hAnsi="华文细黑" w:eastAsia="华文细黑"/>
          <w:b w:val="0"/>
          <w:sz w:val="24"/>
          <w:szCs w:val="24"/>
        </w:rPr>
        <w:t xml:space="preserve">）回购股权支付的认购价，加上以下两者的乘积：(i)自支付认购价之日至收到全部回购价格之日之间实现的公司净利润；与(ii)在上述期间内持有公司股权比例的加权平均值，并减去已分配的利润。为本条款之目的，此处的年回报率以复利计算，“年”为自支付认购价之日至回购完成之日之间的天数除以365天的数额。 </w:t>
      </w:r>
    </w:p>
    <w:p>
      <w:pPr>
        <w:pStyle w:val="2"/>
        <w:keepNext w:val="0"/>
        <w:keepLines w:val="0"/>
        <w:widowControl/>
        <w:tabs>
          <w:tab w:val="left" w:pos="567"/>
        </w:tabs>
        <w:spacing w:before="0" w:after="240" w:line="460" w:lineRule="exact"/>
        <w:jc w:val="left"/>
        <w:rPr>
          <w:rFonts w:ascii="华文细黑" w:hAnsi="华文细黑" w:eastAsia="华文细黑"/>
          <w:b w:val="0"/>
          <w:sz w:val="24"/>
          <w:szCs w:val="24"/>
        </w:rPr>
      </w:pPr>
      <w:r>
        <w:rPr>
          <w:rFonts w:hint="eastAsia" w:ascii="华文细黑" w:hAnsi="华文细黑" w:eastAsia="华文细黑"/>
          <w:b w:val="0"/>
          <w:sz w:val="24"/>
          <w:szCs w:val="24"/>
        </w:rPr>
        <w:t>（4）</w:t>
      </w:r>
      <w:r>
        <w:rPr>
          <w:rFonts w:ascii="华文细黑" w:hAnsi="华文细黑" w:eastAsia="华文细黑"/>
          <w:b w:val="0"/>
          <w:sz w:val="24"/>
          <w:szCs w:val="24"/>
        </w:rPr>
        <w:t>各方同意，对于任何按照</w:t>
      </w:r>
      <w:r>
        <w:rPr>
          <w:rFonts w:hint="eastAsia" w:ascii="华文细黑" w:hAnsi="华文细黑" w:eastAsia="华文细黑"/>
          <w:b w:val="0"/>
          <w:sz w:val="24"/>
          <w:szCs w:val="24"/>
        </w:rPr>
        <w:t>本协议第2.1条</w:t>
      </w:r>
      <w:r>
        <w:rPr>
          <w:rFonts w:ascii="华文细黑" w:hAnsi="华文细黑" w:eastAsia="华文细黑"/>
          <w:b w:val="0"/>
          <w:sz w:val="24"/>
          <w:szCs w:val="24"/>
        </w:rPr>
        <w:t>规定确定的股权转让和回购，各方应按照中国法律的规定签署必要的法律文件以及采取所有必要的行动予以实现，包括但不限于通过必要的股东会决议，并促使其委派或推荐的董事投票支持该项交易。如果因法律规定或者各方以外的其他原因致使第</w:t>
      </w:r>
      <w:r>
        <w:rPr>
          <w:rFonts w:hint="eastAsia" w:ascii="华文细黑" w:hAnsi="华文细黑" w:eastAsia="华文细黑"/>
          <w:b w:val="0"/>
          <w:sz w:val="24"/>
          <w:szCs w:val="24"/>
        </w:rPr>
        <w:t>2.1</w:t>
      </w:r>
      <w:r>
        <w:rPr>
          <w:rFonts w:ascii="华文细黑" w:hAnsi="华文细黑" w:eastAsia="华文细黑"/>
          <w:b w:val="0"/>
          <w:sz w:val="24"/>
          <w:szCs w:val="24"/>
        </w:rPr>
        <w:t>条约定的回购条款无法执行，各方应各尽最大努力采取法律允许的其他手段以达到相同效果</w:t>
      </w:r>
      <w:r>
        <w:rPr>
          <w:rFonts w:hint="eastAsia" w:ascii="华文细黑" w:hAnsi="华文细黑" w:eastAsia="华文细黑"/>
          <w:b w:val="0"/>
          <w:sz w:val="24"/>
          <w:szCs w:val="24"/>
        </w:rPr>
        <w:t>。</w:t>
      </w:r>
    </w:p>
    <w:p>
      <w:pPr>
        <w:ind w:firstLine="480" w:firstLineChars="200"/>
      </w:pPr>
      <w:r>
        <w:rPr>
          <w:rFonts w:hint="eastAsia"/>
        </w:rPr>
        <w:t>2.13 犹豫期</w:t>
      </w:r>
    </w:p>
    <w:p>
      <w:pPr>
        <w:rPr>
          <w:b/>
        </w:rPr>
      </w:pPr>
      <w:r>
        <w:rPr>
          <w:rFonts w:hint="eastAsia"/>
        </w:rPr>
        <w:t>各方同意，各方签订的投资协议及本补充协议生效后，各方同意设立一个犹豫期，犹豫期的期限以投资协议所约定的第一笔增资款支付日期为届满期，在该犹豫期届满前，甲方有权单方面解除投资协议及本补充协议且不履行增资款支付义务；丙方（1）亦有权在该犹豫期届满前单方面解除投资协议及本补充协议且不履行股权出让及工商变更义务。但各方在行使该单方协议解除权时应以明确的方式及时通知协议各方。</w:t>
      </w:r>
    </w:p>
    <w:p>
      <w:pPr>
        <w:spacing w:line="460" w:lineRule="exact"/>
        <w:ind w:firstLine="480" w:firstLineChars="200"/>
        <w:rPr>
          <w:rFonts w:eastAsia="华文细黑"/>
          <w:b/>
        </w:rPr>
      </w:pPr>
      <w:r>
        <w:rPr>
          <w:rFonts w:hint="eastAsia" w:eastAsia="华文细黑"/>
          <w:b/>
        </w:rPr>
        <w:t>2.14股东会</w:t>
      </w:r>
    </w:p>
    <w:p>
      <w:pPr>
        <w:numPr>
          <w:ilvl w:val="0"/>
          <w:numId w:val="8"/>
        </w:numPr>
        <w:spacing w:line="460" w:lineRule="exact"/>
        <w:rPr>
          <w:rFonts w:eastAsia="华文细黑"/>
        </w:rPr>
      </w:pPr>
      <w:r>
        <w:rPr>
          <w:rFonts w:hint="eastAsia" w:eastAsia="华文细黑"/>
        </w:rPr>
        <w:t>股东会为目标公司的权力机构，每年至少召开一次会议，股东会行使下列职权：</w:t>
      </w:r>
    </w:p>
    <w:p>
      <w:pPr>
        <w:numPr>
          <w:ilvl w:val="0"/>
          <w:numId w:val="9"/>
        </w:numPr>
        <w:spacing w:line="460" w:lineRule="exact"/>
        <w:rPr>
          <w:rFonts w:eastAsia="华文细黑"/>
        </w:rPr>
      </w:pPr>
      <w:r>
        <w:rPr>
          <w:rFonts w:hint="eastAsia" w:eastAsia="华文细黑"/>
        </w:rPr>
        <w:t>审议批准公司的经营方针和投资计划；</w:t>
      </w:r>
    </w:p>
    <w:p>
      <w:pPr>
        <w:numPr>
          <w:ilvl w:val="0"/>
          <w:numId w:val="9"/>
        </w:numPr>
        <w:spacing w:line="460" w:lineRule="exact"/>
        <w:rPr>
          <w:rFonts w:eastAsia="华文细黑"/>
        </w:rPr>
      </w:pPr>
      <w:r>
        <w:rPr>
          <w:rFonts w:hint="eastAsia" w:eastAsia="华文细黑"/>
        </w:rPr>
        <w:t>审议批准公司的年度报告、年度财务预算方案、决算方案；</w:t>
      </w:r>
    </w:p>
    <w:p>
      <w:pPr>
        <w:numPr>
          <w:ilvl w:val="0"/>
          <w:numId w:val="9"/>
        </w:numPr>
        <w:spacing w:line="460" w:lineRule="exact"/>
        <w:rPr>
          <w:rFonts w:eastAsia="华文细黑"/>
        </w:rPr>
      </w:pPr>
      <w:r>
        <w:rPr>
          <w:rFonts w:hint="eastAsia" w:eastAsia="华文细黑"/>
        </w:rPr>
        <w:t>审议批准公司的利润分配方案和弥补亏损方案；</w:t>
      </w:r>
    </w:p>
    <w:p>
      <w:pPr>
        <w:numPr>
          <w:ilvl w:val="0"/>
          <w:numId w:val="9"/>
        </w:numPr>
        <w:spacing w:line="460" w:lineRule="exact"/>
        <w:rPr>
          <w:rFonts w:eastAsia="华文细黑"/>
        </w:rPr>
      </w:pPr>
      <w:r>
        <w:rPr>
          <w:rFonts w:hint="eastAsia" w:eastAsia="华文细黑"/>
        </w:rPr>
        <w:t>对公司增加或者减少注册资本作出决议；</w:t>
      </w:r>
    </w:p>
    <w:p>
      <w:pPr>
        <w:numPr>
          <w:ilvl w:val="0"/>
          <w:numId w:val="9"/>
        </w:numPr>
        <w:spacing w:line="460" w:lineRule="exact"/>
        <w:rPr>
          <w:rFonts w:eastAsia="华文细黑"/>
        </w:rPr>
      </w:pPr>
      <w:r>
        <w:rPr>
          <w:rFonts w:hint="eastAsia" w:eastAsia="华文细黑"/>
        </w:rPr>
        <w:t>对公司合并、分立、解散、清算或者变更公司形式作出决议；</w:t>
      </w:r>
    </w:p>
    <w:p>
      <w:pPr>
        <w:numPr>
          <w:ilvl w:val="0"/>
          <w:numId w:val="9"/>
        </w:numPr>
        <w:spacing w:line="460" w:lineRule="exact"/>
        <w:rPr>
          <w:rFonts w:eastAsia="华文细黑"/>
        </w:rPr>
      </w:pPr>
      <w:r>
        <w:rPr>
          <w:rFonts w:hint="eastAsia" w:eastAsia="华文细黑"/>
        </w:rPr>
        <w:t>修改公司章程；</w:t>
      </w:r>
    </w:p>
    <w:p>
      <w:pPr>
        <w:numPr>
          <w:ilvl w:val="0"/>
          <w:numId w:val="9"/>
        </w:numPr>
        <w:spacing w:line="460" w:lineRule="exact"/>
        <w:rPr>
          <w:rFonts w:eastAsia="华文细黑"/>
        </w:rPr>
      </w:pPr>
      <w:r>
        <w:rPr>
          <w:rFonts w:hint="eastAsia" w:eastAsia="华文细黑"/>
        </w:rPr>
        <w:t>审议公司在一年内购买、出售资产或单笔经营支出超过公司最近一期经审计总资产10%以上的事项；</w:t>
      </w:r>
    </w:p>
    <w:p>
      <w:pPr>
        <w:numPr>
          <w:ilvl w:val="0"/>
          <w:numId w:val="9"/>
        </w:numPr>
        <w:spacing w:line="460" w:lineRule="exact"/>
        <w:rPr>
          <w:rFonts w:eastAsia="华文细黑"/>
        </w:rPr>
      </w:pPr>
      <w:r>
        <w:rPr>
          <w:rFonts w:hint="eastAsia" w:eastAsia="华文细黑"/>
        </w:rPr>
        <w:t>任何担保、抵押或设定其他负担；</w:t>
      </w:r>
    </w:p>
    <w:p>
      <w:pPr>
        <w:numPr>
          <w:ilvl w:val="0"/>
          <w:numId w:val="9"/>
        </w:numPr>
        <w:spacing w:line="460" w:lineRule="exact"/>
        <w:rPr>
          <w:rFonts w:eastAsia="华文细黑"/>
        </w:rPr>
      </w:pPr>
      <w:r>
        <w:rPr>
          <w:rFonts w:hint="eastAsia" w:eastAsia="华文细黑"/>
        </w:rPr>
        <w:t>任何对外投资（包括子公司的对外投资）、合资、合作等；</w:t>
      </w:r>
    </w:p>
    <w:p>
      <w:pPr>
        <w:numPr>
          <w:ilvl w:val="0"/>
          <w:numId w:val="9"/>
        </w:numPr>
        <w:spacing w:line="460" w:lineRule="exact"/>
        <w:rPr>
          <w:rFonts w:eastAsia="华文细黑"/>
        </w:rPr>
      </w:pPr>
      <w:r>
        <w:rPr>
          <w:rFonts w:hint="eastAsia" w:eastAsia="华文细黑"/>
        </w:rPr>
        <w:t>审议股权激励计划；</w:t>
      </w:r>
    </w:p>
    <w:p>
      <w:pPr>
        <w:numPr>
          <w:ilvl w:val="0"/>
          <w:numId w:val="9"/>
        </w:numPr>
        <w:spacing w:line="460" w:lineRule="exact"/>
        <w:rPr>
          <w:rFonts w:eastAsia="华文细黑"/>
        </w:rPr>
      </w:pPr>
      <w:r>
        <w:rPr>
          <w:rFonts w:hint="eastAsia" w:eastAsia="华文细黑"/>
        </w:rPr>
        <w:t>与公司股东、董事、高管及其关联方发生的一年累计超过50万元的关联交易；</w:t>
      </w:r>
    </w:p>
    <w:p>
      <w:pPr>
        <w:numPr>
          <w:ilvl w:val="0"/>
          <w:numId w:val="9"/>
        </w:numPr>
        <w:spacing w:line="460" w:lineRule="exact"/>
        <w:rPr>
          <w:rFonts w:eastAsia="华文细黑"/>
        </w:rPr>
      </w:pPr>
      <w:r>
        <w:rPr>
          <w:rFonts w:hint="eastAsia" w:eastAsia="华文细黑"/>
        </w:rPr>
        <w:t>公司章程约定的其它事项。</w:t>
      </w:r>
    </w:p>
    <w:p>
      <w:pPr>
        <w:numPr>
          <w:ilvl w:val="0"/>
          <w:numId w:val="8"/>
        </w:numPr>
        <w:spacing w:line="460" w:lineRule="exact"/>
        <w:rPr>
          <w:rFonts w:eastAsia="华文细黑"/>
        </w:rPr>
      </w:pPr>
      <w:r>
        <w:rPr>
          <w:rFonts w:hint="eastAsia" w:eastAsia="华文细黑"/>
        </w:rPr>
        <w:t>股东会决议事项，须经包括甲方在内代表三分之二以上表决权的股东同意，方可作出有效决议。</w:t>
      </w:r>
    </w:p>
    <w:p>
      <w:pPr>
        <w:numPr>
          <w:ilvl w:val="0"/>
          <w:numId w:val="8"/>
        </w:numPr>
        <w:spacing w:line="460" w:lineRule="exact"/>
        <w:rPr>
          <w:rFonts w:eastAsia="华文细黑"/>
        </w:rPr>
      </w:pPr>
      <w:r>
        <w:rPr>
          <w:rFonts w:hint="eastAsia" w:eastAsia="华文细黑"/>
        </w:rPr>
        <w:t>代表十分之一以上（不含本数）表决权的股东，三分之一以上（不含本数）的董事，监事提议召开股东会临时会议的，应当召开临时会议。</w:t>
      </w:r>
    </w:p>
    <w:p>
      <w:pPr>
        <w:spacing w:line="460" w:lineRule="exact"/>
        <w:ind w:firstLine="720" w:firstLineChars="300"/>
        <w:rPr>
          <w:rFonts w:eastAsia="华文细黑"/>
          <w:b/>
        </w:rPr>
      </w:pPr>
      <w:r>
        <w:rPr>
          <w:rFonts w:hint="eastAsia" w:eastAsia="华文细黑"/>
          <w:b/>
        </w:rPr>
        <w:t>2.</w:t>
      </w:r>
      <w:bookmarkStart w:id="15" w:name="_GoBack"/>
      <w:r>
        <w:rPr>
          <w:rFonts w:hint="eastAsia" w:eastAsia="华文细黑"/>
          <w:b/>
        </w:rPr>
        <w:t>15</w:t>
      </w:r>
      <w:bookmarkEnd w:id="15"/>
      <w:r>
        <w:rPr>
          <w:rFonts w:hint="eastAsia" w:eastAsia="华文细黑"/>
          <w:b/>
        </w:rPr>
        <w:t>董事会</w:t>
      </w:r>
    </w:p>
    <w:p>
      <w:pPr>
        <w:numPr>
          <w:ilvl w:val="0"/>
          <w:numId w:val="10"/>
        </w:numPr>
        <w:spacing w:line="460" w:lineRule="exact"/>
        <w:rPr>
          <w:rFonts w:eastAsia="华文细黑"/>
        </w:rPr>
      </w:pPr>
      <w:r>
        <w:rPr>
          <w:rFonts w:hint="eastAsia" w:eastAsia="华文细黑"/>
        </w:rPr>
        <w:t>董事会的定期会议应至少每半年召开一次，代表十分之一以上（不含本数）表决权的股东、三分之一以上（不含本数）董事或者监事，可以提议召开董事会临时会议。董事会会议可以电话或视频会议的方式进行，会议应根据公司章程的规定召开和主持。</w:t>
      </w:r>
    </w:p>
    <w:p>
      <w:pPr>
        <w:numPr>
          <w:ilvl w:val="0"/>
          <w:numId w:val="10"/>
        </w:numPr>
        <w:spacing w:line="460" w:lineRule="exact"/>
        <w:rPr>
          <w:rFonts w:eastAsia="华文细黑"/>
        </w:rPr>
      </w:pPr>
      <w:r>
        <w:rPr>
          <w:rFonts w:hint="eastAsia" w:eastAsia="华文细黑"/>
        </w:rPr>
        <w:t>除另有约定外，下列重大事项应经目标公司包括甲方提名董事在内的董事会过半数以上董事同意方可通过：</w:t>
      </w:r>
    </w:p>
    <w:p>
      <w:pPr>
        <w:numPr>
          <w:ilvl w:val="3"/>
          <w:numId w:val="2"/>
        </w:numPr>
        <w:spacing w:line="460" w:lineRule="exact"/>
        <w:ind w:left="2127" w:hanging="426"/>
        <w:rPr>
          <w:rFonts w:eastAsia="华文细黑"/>
        </w:rPr>
      </w:pPr>
      <w:r>
        <w:rPr>
          <w:rFonts w:hint="eastAsia" w:eastAsia="华文细黑"/>
        </w:rPr>
        <w:t>批准、修改公司的年度计划和预算；</w:t>
      </w:r>
    </w:p>
    <w:p>
      <w:pPr>
        <w:numPr>
          <w:ilvl w:val="3"/>
          <w:numId w:val="2"/>
        </w:numPr>
        <w:spacing w:line="460" w:lineRule="exact"/>
        <w:ind w:left="2127" w:hanging="426"/>
        <w:rPr>
          <w:rFonts w:eastAsia="华文细黑"/>
        </w:rPr>
      </w:pPr>
      <w:r>
        <w:rPr>
          <w:rFonts w:hint="eastAsia" w:eastAsia="华文细黑"/>
        </w:rPr>
        <w:t>公司年度奖金提取和分配计划；</w:t>
      </w:r>
    </w:p>
    <w:p>
      <w:pPr>
        <w:numPr>
          <w:ilvl w:val="3"/>
          <w:numId w:val="2"/>
        </w:numPr>
        <w:spacing w:line="460" w:lineRule="exact"/>
        <w:ind w:left="2127" w:hanging="426"/>
        <w:rPr>
          <w:rFonts w:eastAsia="华文细黑"/>
        </w:rPr>
      </w:pPr>
      <w:r>
        <w:rPr>
          <w:rFonts w:hint="eastAsia" w:eastAsia="华文细黑"/>
        </w:rPr>
        <w:t>公司业务方向发生重大变化，或开拓新的业务方向；</w:t>
      </w:r>
    </w:p>
    <w:p>
      <w:pPr>
        <w:numPr>
          <w:ilvl w:val="3"/>
          <w:numId w:val="2"/>
        </w:numPr>
        <w:spacing w:line="460" w:lineRule="exact"/>
        <w:ind w:left="2127" w:hanging="426"/>
        <w:rPr>
          <w:rFonts w:eastAsia="华文细黑"/>
        </w:rPr>
      </w:pPr>
      <w:r>
        <w:rPr>
          <w:rFonts w:hint="eastAsia" w:eastAsia="华文细黑"/>
        </w:rPr>
        <w:t>任命公司总经理及决定其薪酬，根据总经理的提名决定聘任或者解聘公司副总经理、财务负责人及其报酬事项，决定主要经营团队成员的报酬事项；</w:t>
      </w:r>
    </w:p>
    <w:p>
      <w:pPr>
        <w:numPr>
          <w:ilvl w:val="3"/>
          <w:numId w:val="2"/>
        </w:numPr>
        <w:spacing w:line="460" w:lineRule="exact"/>
        <w:ind w:left="2127" w:hanging="426"/>
        <w:rPr>
          <w:rFonts w:eastAsia="华文细黑"/>
        </w:rPr>
      </w:pPr>
      <w:r>
        <w:rPr>
          <w:rFonts w:hint="eastAsia" w:eastAsia="华文细黑"/>
        </w:rPr>
        <w:t>审议公司在一年内购买、出售资产金额或单笔经营支出在100万元以上且占公司最近一期经审计总资产10%以下的事项；</w:t>
      </w:r>
    </w:p>
    <w:p>
      <w:pPr>
        <w:numPr>
          <w:ilvl w:val="3"/>
          <w:numId w:val="2"/>
        </w:numPr>
        <w:spacing w:line="460" w:lineRule="exact"/>
        <w:ind w:left="2127" w:hanging="426"/>
        <w:rPr>
          <w:rFonts w:eastAsia="华文细黑"/>
        </w:rPr>
      </w:pPr>
      <w:r>
        <w:rPr>
          <w:rFonts w:hint="eastAsia" w:eastAsia="华文细黑"/>
        </w:rPr>
        <w:t>审议公司任何对外借款或贷款；</w:t>
      </w:r>
    </w:p>
    <w:p>
      <w:pPr>
        <w:numPr>
          <w:ilvl w:val="3"/>
          <w:numId w:val="2"/>
        </w:numPr>
        <w:spacing w:line="460" w:lineRule="exact"/>
        <w:ind w:left="2127" w:hanging="426"/>
        <w:rPr>
          <w:rFonts w:eastAsia="华文细黑"/>
        </w:rPr>
      </w:pPr>
      <w:r>
        <w:rPr>
          <w:rFonts w:hint="eastAsia" w:eastAsia="华文细黑"/>
        </w:rPr>
        <w:t>与公司股东、董事、高级管理人员及其关联方发生的一年累计超过10万元并低于50万元的关联交易；</w:t>
      </w:r>
    </w:p>
    <w:p>
      <w:pPr>
        <w:numPr>
          <w:ilvl w:val="3"/>
          <w:numId w:val="2"/>
        </w:numPr>
        <w:spacing w:line="460" w:lineRule="exact"/>
        <w:ind w:left="2127" w:hanging="426"/>
        <w:rPr>
          <w:rFonts w:eastAsia="华文细黑"/>
        </w:rPr>
      </w:pPr>
      <w:r>
        <w:rPr>
          <w:rFonts w:hint="eastAsia" w:eastAsia="华文细黑"/>
        </w:rPr>
        <w:t>聘请或更换公司的审计师，变更公司会计政策、资金政策；</w:t>
      </w:r>
    </w:p>
    <w:p>
      <w:pPr>
        <w:numPr>
          <w:ilvl w:val="3"/>
          <w:numId w:val="2"/>
        </w:numPr>
        <w:spacing w:line="460" w:lineRule="exact"/>
        <w:ind w:left="2127" w:hanging="426"/>
        <w:rPr>
          <w:rFonts w:eastAsia="华文细黑"/>
        </w:rPr>
      </w:pPr>
      <w:r>
        <w:rPr>
          <w:rFonts w:hint="eastAsia" w:eastAsia="华文细黑"/>
        </w:rPr>
        <w:t>公司章程或股东会约定的其它事项。</w:t>
      </w:r>
    </w:p>
    <w:p>
      <w:pPr>
        <w:spacing w:line="460" w:lineRule="exact"/>
        <w:ind w:firstLine="480" w:firstLineChars="200"/>
        <w:rPr>
          <w:rFonts w:eastAsia="华文细黑"/>
          <w:b/>
        </w:rPr>
      </w:pPr>
      <w:r>
        <w:rPr>
          <w:rFonts w:hint="eastAsia" w:eastAsia="华文细黑"/>
          <w:b/>
        </w:rPr>
        <w:t>2.16知情权</w:t>
      </w:r>
    </w:p>
    <w:p>
      <w:pPr>
        <w:numPr>
          <w:ilvl w:val="0"/>
          <w:numId w:val="11"/>
        </w:numPr>
        <w:spacing w:line="460" w:lineRule="exact"/>
        <w:rPr>
          <w:rFonts w:eastAsia="华文细黑"/>
        </w:rPr>
      </w:pPr>
      <w:r>
        <w:rPr>
          <w:rFonts w:hint="eastAsia" w:eastAsia="华文细黑"/>
        </w:rPr>
        <w:t>本交易完成后，目标公司应将以下报表或文件，在规定时间内报送甲方，同时建档留存备查：</w:t>
      </w:r>
    </w:p>
    <w:p>
      <w:pPr>
        <w:numPr>
          <w:ilvl w:val="0"/>
          <w:numId w:val="12"/>
        </w:numPr>
        <w:spacing w:line="460" w:lineRule="exact"/>
        <w:rPr>
          <w:rFonts w:eastAsia="华文细黑"/>
        </w:rPr>
      </w:pPr>
      <w:r>
        <w:rPr>
          <w:rFonts w:hint="eastAsia" w:eastAsia="华文细黑"/>
        </w:rPr>
        <w:t>每一个会计年度结束后的</w:t>
      </w:r>
      <w:r>
        <w:rPr>
          <w:rFonts w:eastAsia="华文细黑"/>
        </w:rPr>
        <w:t>90</w:t>
      </w:r>
      <w:r>
        <w:rPr>
          <w:rFonts w:hint="eastAsia" w:eastAsia="华文细黑"/>
        </w:rPr>
        <w:t>天内，送交经甲方认可的会计师事务所所审计的该年度财务报表；</w:t>
      </w:r>
    </w:p>
    <w:p>
      <w:pPr>
        <w:numPr>
          <w:ilvl w:val="0"/>
          <w:numId w:val="12"/>
        </w:numPr>
        <w:spacing w:line="460" w:lineRule="exact"/>
        <w:rPr>
          <w:rFonts w:eastAsia="华文细黑"/>
        </w:rPr>
      </w:pPr>
      <w:r>
        <w:rPr>
          <w:rFonts w:hint="eastAsia" w:eastAsia="华文细黑"/>
        </w:rPr>
        <w:t>每季度结束</w:t>
      </w:r>
      <w:r>
        <w:rPr>
          <w:rFonts w:eastAsia="华文细黑"/>
        </w:rPr>
        <w:t>30</w:t>
      </w:r>
      <w:r>
        <w:rPr>
          <w:rFonts w:hint="eastAsia" w:eastAsia="华文细黑"/>
        </w:rPr>
        <w:t>天内送交该季度未经审计的季度合并财务报表；</w:t>
      </w:r>
    </w:p>
    <w:p>
      <w:pPr>
        <w:numPr>
          <w:ilvl w:val="0"/>
          <w:numId w:val="12"/>
        </w:numPr>
        <w:spacing w:line="460" w:lineRule="exact"/>
        <w:rPr>
          <w:rFonts w:eastAsia="华文细黑"/>
        </w:rPr>
      </w:pPr>
      <w:r>
        <w:rPr>
          <w:rFonts w:hint="eastAsia" w:eastAsia="华文细黑"/>
        </w:rPr>
        <w:t>每一会计年度结束前</w:t>
      </w:r>
      <w:r>
        <w:rPr>
          <w:rFonts w:eastAsia="华文细黑"/>
        </w:rPr>
        <w:t>45</w:t>
      </w:r>
      <w:r>
        <w:rPr>
          <w:rFonts w:hint="eastAsia" w:eastAsia="华文细黑"/>
        </w:rPr>
        <w:t>天内送交下一年度综合年度合并预算；</w:t>
      </w:r>
    </w:p>
    <w:p>
      <w:pPr>
        <w:numPr>
          <w:ilvl w:val="0"/>
          <w:numId w:val="12"/>
        </w:numPr>
        <w:spacing w:line="460" w:lineRule="exact"/>
        <w:rPr>
          <w:rFonts w:eastAsia="华文细黑"/>
        </w:rPr>
      </w:pPr>
      <w:r>
        <w:rPr>
          <w:rFonts w:hint="eastAsia" w:eastAsia="华文细黑"/>
        </w:rPr>
        <w:t>甲方要求的主要运营数据。</w:t>
      </w:r>
    </w:p>
    <w:p>
      <w:pPr>
        <w:numPr>
          <w:ilvl w:val="0"/>
          <w:numId w:val="11"/>
        </w:numPr>
        <w:spacing w:line="460" w:lineRule="exact"/>
        <w:rPr>
          <w:rFonts w:eastAsia="华文细黑"/>
        </w:rPr>
      </w:pPr>
      <w:r>
        <w:rPr>
          <w:rFonts w:hint="eastAsia" w:eastAsia="华文细黑"/>
        </w:rPr>
        <w:t>甲方如有任何信息上的疑问，可在给与目标公司及其下属机构合理通知的前提下，查看目标公司及其下属机构财务的原始单据，了解目标公司及其下属机构的财务运营状况。目标公司应就重大事项或可能对目标公司及其下属机构造成潜在义务的事项及时通知甲方。</w:t>
      </w:r>
    </w:p>
    <w:p>
      <w:pPr>
        <w:numPr>
          <w:ilvl w:val="0"/>
          <w:numId w:val="11"/>
        </w:numPr>
        <w:spacing w:line="460" w:lineRule="exact"/>
        <w:rPr>
          <w:rFonts w:eastAsia="华文细黑"/>
        </w:rPr>
      </w:pPr>
      <w:r>
        <w:rPr>
          <w:rFonts w:hint="eastAsia" w:eastAsia="华文细黑"/>
        </w:rPr>
        <w:t>聘任或更换为目标公司及其下属机构进行审计的会计师事务所应当经甲方认可。</w:t>
      </w:r>
    </w:p>
    <w:p>
      <w:pPr>
        <w:numPr>
          <w:ilvl w:val="0"/>
          <w:numId w:val="3"/>
        </w:numPr>
        <w:spacing w:before="312" w:beforeLines="100" w:line="460" w:lineRule="exact"/>
        <w:ind w:hangingChars="177"/>
        <w:outlineLvl w:val="1"/>
        <w:rPr>
          <w:rFonts w:eastAsia="华文细黑"/>
          <w:b/>
        </w:rPr>
      </w:pPr>
      <w:bookmarkStart w:id="6" w:name="_Toc422314077"/>
      <w:r>
        <w:rPr>
          <w:rFonts w:hint="eastAsia" w:eastAsia="华文细黑"/>
          <w:b/>
        </w:rPr>
        <w:t>乙方、丙方陈述与保证</w:t>
      </w:r>
      <w:bookmarkEnd w:id="6"/>
    </w:p>
    <w:p>
      <w:pPr>
        <w:numPr>
          <w:ilvl w:val="1"/>
          <w:numId w:val="3"/>
        </w:numPr>
        <w:spacing w:line="460" w:lineRule="exact"/>
        <w:rPr>
          <w:rFonts w:eastAsia="华文细黑"/>
          <w:b/>
        </w:rPr>
      </w:pPr>
      <w:r>
        <w:rPr>
          <w:rFonts w:hint="eastAsia" w:eastAsia="华文细黑"/>
          <w:b/>
        </w:rPr>
        <w:t>真实信息及披露</w:t>
      </w:r>
    </w:p>
    <w:p>
      <w:pPr>
        <w:spacing w:line="460" w:lineRule="exact"/>
        <w:ind w:left="992"/>
        <w:rPr>
          <w:rFonts w:eastAsia="华文细黑"/>
        </w:rPr>
      </w:pPr>
      <w:r>
        <w:rPr>
          <w:rFonts w:hint="eastAsia" w:eastAsia="华文细黑"/>
        </w:rPr>
        <w:t>丙方、目标公司向甲方提供或披露的全部信息、资料、保证或承诺在所有重大方面均为完整的、无遗漏的、真实的、准确的、可靠的和没有误导性的。</w:t>
      </w:r>
    </w:p>
    <w:p>
      <w:pPr>
        <w:spacing w:line="460" w:lineRule="exact"/>
        <w:ind w:left="992"/>
        <w:rPr>
          <w:rFonts w:eastAsia="华文细黑"/>
        </w:rPr>
      </w:pPr>
    </w:p>
    <w:p>
      <w:pPr>
        <w:numPr>
          <w:ilvl w:val="1"/>
          <w:numId w:val="3"/>
        </w:numPr>
        <w:spacing w:line="460" w:lineRule="exact"/>
        <w:rPr>
          <w:rFonts w:eastAsia="华文细黑"/>
          <w:b/>
        </w:rPr>
      </w:pPr>
      <w:r>
        <w:rPr>
          <w:rFonts w:hint="eastAsia" w:eastAsia="华文细黑"/>
          <w:b/>
        </w:rPr>
        <w:t>目标公司的股权所有权</w:t>
      </w:r>
    </w:p>
    <w:p>
      <w:pPr>
        <w:numPr>
          <w:ilvl w:val="0"/>
          <w:numId w:val="13"/>
        </w:numPr>
        <w:spacing w:line="460" w:lineRule="exact"/>
        <w:rPr>
          <w:rFonts w:eastAsia="华文细黑"/>
        </w:rPr>
      </w:pPr>
      <w:r>
        <w:rPr>
          <w:rFonts w:hint="eastAsia" w:eastAsia="华文细黑"/>
        </w:rPr>
        <w:t>丙方为本补充协议签署日目标公司的全部公司股东，丙方与目标公司先前股东之间、</w:t>
      </w:r>
      <w:r>
        <w:rPr>
          <w:rFonts w:hint="eastAsia" w:eastAsia="华文细黑"/>
          <w:u w:val="single"/>
        </w:rPr>
        <w:t>丙方各方</w:t>
      </w:r>
      <w:r>
        <w:rPr>
          <w:rFonts w:hint="eastAsia" w:eastAsia="华文细黑"/>
        </w:rPr>
        <w:t>之间就目标公司之前的股权转让、增资等事宜不存在任何未决或潜在的纠纷或争议，并均已遵守了与股权转让有关的中国法律；</w:t>
      </w:r>
    </w:p>
    <w:p>
      <w:pPr>
        <w:numPr>
          <w:ilvl w:val="0"/>
          <w:numId w:val="13"/>
        </w:numPr>
        <w:spacing w:line="460" w:lineRule="exact"/>
        <w:rPr>
          <w:rFonts w:eastAsia="华文细黑"/>
        </w:rPr>
      </w:pPr>
      <w:r>
        <w:rPr>
          <w:rFonts w:hint="eastAsia" w:eastAsia="华文细黑"/>
        </w:rPr>
        <w:t>丙方对其持有的目标公司的股权具有合法、完整的所有权，有权签署本补充协议并同意目标公司增资事项；</w:t>
      </w:r>
    </w:p>
    <w:p>
      <w:pPr>
        <w:numPr>
          <w:ilvl w:val="0"/>
          <w:numId w:val="13"/>
        </w:numPr>
        <w:spacing w:line="420" w:lineRule="exact"/>
        <w:rPr>
          <w:rFonts w:eastAsia="华文细黑"/>
        </w:rPr>
      </w:pPr>
      <w:r>
        <w:rPr>
          <w:rFonts w:hint="eastAsia" w:eastAsia="华文细黑"/>
        </w:rPr>
        <w:t>目标公司的股权不存在信托、委托持股或者其他任何类似安排，不存在质押等任何担保权益，不存在冻结、查封或者其他任何被采取强制保全措施的情形，不存在禁止转让、限制转让、其他任何权利限制的合同、承诺或安排，亦不存在任何可能导致上述股权被有关司法机关或行政机关查封、冻结、征用或限制转让的未决或潜在的诉讼、仲裁以及任何其他行政或司法程序。</w:t>
      </w:r>
    </w:p>
    <w:p>
      <w:pPr>
        <w:numPr>
          <w:ilvl w:val="0"/>
          <w:numId w:val="13"/>
        </w:numPr>
        <w:spacing w:line="420" w:lineRule="exact"/>
        <w:rPr>
          <w:rFonts w:eastAsia="华文细黑"/>
        </w:rPr>
      </w:pPr>
      <w:r>
        <w:rPr>
          <w:rFonts w:hint="eastAsia" w:eastAsia="华文细黑"/>
        </w:rPr>
        <w:t>丙方特别承诺，本次增资及股权转让完成后，将根据股东会决议，尽快将所持目标公司的</w:t>
      </w:r>
      <w:r>
        <w:rPr>
          <w:rFonts w:hint="eastAsia" w:eastAsia="华文细黑"/>
          <w:u w:val="single"/>
        </w:rPr>
        <w:t xml:space="preserve">    </w:t>
      </w:r>
      <w:r>
        <w:rPr>
          <w:rFonts w:eastAsia="华文细黑"/>
        </w:rPr>
        <w:t>%</w:t>
      </w:r>
      <w:r>
        <w:rPr>
          <w:rFonts w:hint="eastAsia" w:eastAsia="华文细黑"/>
        </w:rPr>
        <w:t>的股权，设为期权池，该部分股权仍暂由丙方代持。</w:t>
      </w:r>
    </w:p>
    <w:p>
      <w:pPr>
        <w:numPr>
          <w:ilvl w:val="1"/>
          <w:numId w:val="3"/>
        </w:numPr>
        <w:spacing w:line="420" w:lineRule="exact"/>
        <w:rPr>
          <w:rFonts w:eastAsia="华文细黑"/>
          <w:b/>
        </w:rPr>
      </w:pPr>
      <w:r>
        <w:rPr>
          <w:rFonts w:hint="eastAsia" w:eastAsia="华文细黑"/>
          <w:b/>
        </w:rPr>
        <w:t>遵守法律</w:t>
      </w:r>
    </w:p>
    <w:p>
      <w:pPr>
        <w:numPr>
          <w:ilvl w:val="0"/>
          <w:numId w:val="14"/>
        </w:numPr>
        <w:spacing w:line="420" w:lineRule="exact"/>
        <w:rPr>
          <w:rFonts w:eastAsia="华文细黑"/>
        </w:rPr>
      </w:pPr>
      <w:r>
        <w:rPr>
          <w:rFonts w:hint="eastAsia" w:eastAsia="华文细黑"/>
        </w:rPr>
        <w:t>不违反法律</w:t>
      </w:r>
    </w:p>
    <w:p>
      <w:pPr>
        <w:spacing w:line="420" w:lineRule="exact"/>
        <w:ind w:left="1712"/>
        <w:rPr>
          <w:rFonts w:eastAsia="华文细黑"/>
        </w:rPr>
      </w:pPr>
      <w:r>
        <w:rPr>
          <w:rFonts w:hint="eastAsia" w:eastAsia="华文细黑"/>
        </w:rPr>
        <w:t>目标公司及丙方未曾因违反任何有关法律法规，可能造成任何责任或刑事或行政处罚，或以其他方式对目标公司从事其目前主营业务的能力产生严重不利影响，包括但不限于出资、知识产权、员工的各项社会保险金的缴付、税收优惠政策的享受、环境保护及安全生产相关的登记、备案、批准或验收等。</w:t>
      </w:r>
    </w:p>
    <w:p>
      <w:pPr>
        <w:numPr>
          <w:ilvl w:val="0"/>
          <w:numId w:val="14"/>
        </w:numPr>
        <w:spacing w:line="420" w:lineRule="exact"/>
        <w:rPr>
          <w:rFonts w:eastAsia="华文细黑"/>
        </w:rPr>
      </w:pPr>
      <w:r>
        <w:rPr>
          <w:rFonts w:hint="eastAsia" w:eastAsia="华文细黑"/>
        </w:rPr>
        <w:t>许可</w:t>
      </w:r>
    </w:p>
    <w:p>
      <w:pPr>
        <w:spacing w:line="420" w:lineRule="exact"/>
        <w:ind w:left="1712"/>
        <w:rPr>
          <w:rFonts w:eastAsia="华文细黑"/>
        </w:rPr>
      </w:pPr>
      <w:r>
        <w:rPr>
          <w:rFonts w:hint="eastAsia" w:eastAsia="华文细黑"/>
        </w:rPr>
        <w:t>目标公司拥有从事其目前主营业务所需的所有资质、许可、批准、证书、授权和执照，该等资质、许可、批准、证书、授权和执照均真实、完整、充分且合法有效。目标公司没有违反或不履行任何该等许可、批准、证书、授权和执照。</w:t>
      </w:r>
    </w:p>
    <w:p>
      <w:pPr>
        <w:numPr>
          <w:ilvl w:val="0"/>
          <w:numId w:val="14"/>
        </w:numPr>
        <w:spacing w:line="420" w:lineRule="exact"/>
        <w:rPr>
          <w:rFonts w:eastAsia="华文细黑"/>
        </w:rPr>
      </w:pPr>
      <w:r>
        <w:rPr>
          <w:rFonts w:hint="eastAsia" w:eastAsia="华文细黑"/>
        </w:rPr>
        <w:t>税务合规</w:t>
      </w:r>
    </w:p>
    <w:p>
      <w:pPr>
        <w:spacing w:line="420" w:lineRule="exact"/>
        <w:ind w:left="1712"/>
        <w:rPr>
          <w:rFonts w:eastAsia="华文细黑"/>
        </w:rPr>
      </w:pPr>
      <w:r>
        <w:rPr>
          <w:rFonts w:hint="eastAsia" w:eastAsia="华文细黑"/>
        </w:rPr>
        <w:t>1）所有要求提交的有关目标公司税收的纳税证明和报告均已按时提交；2）所有要求在该等纳税证明和报告上显示的或以其他方式到期的税收均已按时支付；3）所有该等纳税证明和报告在所有重要方面均真实、准确和完整；及4）任何税务部门均未正式或非正式地提议就该等纳税证明作出不利于目标公司的调整，且不存在进行任何该等不利调整的依据；5）不存在任何未决的或（就目标公司所知）潜在的对目标公司提起的有关评定或收取税收的诉讼或程序。</w:t>
      </w:r>
    </w:p>
    <w:p>
      <w:pPr>
        <w:numPr>
          <w:ilvl w:val="1"/>
          <w:numId w:val="3"/>
        </w:numPr>
        <w:spacing w:line="420" w:lineRule="exact"/>
        <w:rPr>
          <w:rFonts w:eastAsia="华文细黑"/>
          <w:b/>
        </w:rPr>
      </w:pPr>
      <w:r>
        <w:rPr>
          <w:rFonts w:hint="eastAsia" w:eastAsia="华文细黑"/>
          <w:b/>
        </w:rPr>
        <w:t>资产状况</w:t>
      </w:r>
    </w:p>
    <w:p>
      <w:pPr>
        <w:numPr>
          <w:ilvl w:val="0"/>
          <w:numId w:val="15"/>
        </w:numPr>
        <w:spacing w:line="420" w:lineRule="exact"/>
        <w:rPr>
          <w:rFonts w:eastAsia="华文细黑"/>
        </w:rPr>
      </w:pPr>
      <w:r>
        <w:rPr>
          <w:rFonts w:hint="eastAsia" w:eastAsia="华文细黑"/>
        </w:rPr>
        <w:t>截至评估基准日，目标公司经审计的账目中记载的资产，均为目标公司依法或依合法有效合约约定拥有所有权、直接支配权或其他排他权利的资产，上述资产之上均不存在任何产权负担或第三方权利。</w:t>
      </w:r>
    </w:p>
    <w:p>
      <w:pPr>
        <w:numPr>
          <w:ilvl w:val="0"/>
          <w:numId w:val="15"/>
        </w:numPr>
        <w:spacing w:line="460" w:lineRule="exact"/>
        <w:rPr>
          <w:rFonts w:eastAsia="华文细黑"/>
        </w:rPr>
      </w:pPr>
      <w:r>
        <w:rPr>
          <w:rFonts w:hint="eastAsia" w:eastAsia="华文细黑"/>
        </w:rPr>
        <w:t>对于正在使用的资产，目标公司拥有所有权或合法的权利，有权在其现有业务和/或拟经营业务的经营中使用，并足以凭借上述资产支持其正常业务的运转。</w:t>
      </w:r>
    </w:p>
    <w:p>
      <w:pPr>
        <w:numPr>
          <w:ilvl w:val="0"/>
          <w:numId w:val="15"/>
        </w:numPr>
        <w:spacing w:line="460" w:lineRule="exact"/>
        <w:rPr>
          <w:rFonts w:eastAsia="华文细黑"/>
        </w:rPr>
      </w:pPr>
      <w:r>
        <w:rPr>
          <w:rFonts w:hint="eastAsia" w:eastAsia="华文细黑"/>
        </w:rPr>
        <w:t>目标公司已经向甲方提供有关目标公司租赁的全部资产的真实和完整的土地使用权证、房屋所有权证及其租约复印件，目标公司遵守所有该等租约。</w:t>
      </w:r>
    </w:p>
    <w:p>
      <w:pPr>
        <w:numPr>
          <w:ilvl w:val="0"/>
          <w:numId w:val="15"/>
        </w:numPr>
        <w:spacing w:line="460" w:lineRule="exact"/>
        <w:rPr>
          <w:rFonts w:eastAsia="华文细黑"/>
        </w:rPr>
      </w:pPr>
      <w:r>
        <w:rPr>
          <w:rFonts w:hint="eastAsia" w:eastAsia="华文细黑"/>
        </w:rPr>
        <w:t>目标公司不存在任何对外担保、抵押、质押。</w:t>
      </w:r>
    </w:p>
    <w:p>
      <w:pPr>
        <w:numPr>
          <w:ilvl w:val="1"/>
          <w:numId w:val="3"/>
        </w:numPr>
        <w:spacing w:line="460" w:lineRule="exact"/>
        <w:rPr>
          <w:rFonts w:eastAsia="华文细黑"/>
          <w:b/>
        </w:rPr>
      </w:pPr>
      <w:r>
        <w:rPr>
          <w:rFonts w:hint="eastAsia" w:eastAsia="华文细黑"/>
          <w:b/>
        </w:rPr>
        <w:t>知识产权</w:t>
      </w:r>
    </w:p>
    <w:p>
      <w:pPr>
        <w:numPr>
          <w:ilvl w:val="0"/>
          <w:numId w:val="16"/>
        </w:numPr>
        <w:spacing w:line="460" w:lineRule="exact"/>
        <w:ind w:left="1701" w:hanging="708"/>
        <w:rPr>
          <w:rFonts w:eastAsia="华文细黑"/>
        </w:rPr>
      </w:pPr>
      <w:r>
        <w:rPr>
          <w:rFonts w:hint="eastAsia" w:eastAsia="华文细黑"/>
        </w:rPr>
        <w:t>目标公司合法拥有其目前及未来从事生产经营所需的知识产权的全部权利（详见附件一）。对于上述知识产权，目标公司没有授予也没有义务授予任何的许可、分许可或转让权；</w:t>
      </w:r>
    </w:p>
    <w:p>
      <w:pPr>
        <w:numPr>
          <w:ilvl w:val="0"/>
          <w:numId w:val="16"/>
        </w:numPr>
        <w:spacing w:line="460" w:lineRule="exact"/>
        <w:ind w:left="1701" w:hanging="708"/>
        <w:rPr>
          <w:rFonts w:eastAsia="华文细黑"/>
        </w:rPr>
      </w:pPr>
      <w:r>
        <w:rPr>
          <w:rFonts w:hint="eastAsia" w:eastAsia="华文细黑"/>
        </w:rPr>
        <w:t>目标公司未曾从事任何行为或怠于从事任何行为（包括但不限于未支付申请费、审查费、发证费、注册后续费用及维持费、年费、复审费、使用费、转让对价及类似费用），经合理判断没有可能造成对其合法拥有、使用的知识产权有被放弃、取消、注销、丧失、失效、终止或不可执行的情形；</w:t>
      </w:r>
    </w:p>
    <w:p>
      <w:pPr>
        <w:numPr>
          <w:ilvl w:val="0"/>
          <w:numId w:val="16"/>
        </w:numPr>
        <w:spacing w:line="460" w:lineRule="exact"/>
        <w:ind w:left="1701" w:hanging="708"/>
        <w:rPr>
          <w:rFonts w:eastAsia="华文细黑"/>
        </w:rPr>
      </w:pPr>
      <w:r>
        <w:rPr>
          <w:rFonts w:hint="eastAsia" w:eastAsia="华文细黑"/>
        </w:rPr>
        <w:t>目标公司已根据一般惯例、采取合理措施保护其在知识产权上的权利，并始终保持所有商业秘密的信息的机密性；</w:t>
      </w:r>
    </w:p>
    <w:p>
      <w:pPr>
        <w:numPr>
          <w:ilvl w:val="0"/>
          <w:numId w:val="16"/>
        </w:numPr>
        <w:spacing w:line="460" w:lineRule="exact"/>
        <w:ind w:left="1701" w:hanging="708"/>
        <w:rPr>
          <w:rFonts w:eastAsia="华文细黑"/>
        </w:rPr>
      </w:pPr>
      <w:r>
        <w:rPr>
          <w:rFonts w:hint="eastAsia" w:eastAsia="华文细黑"/>
        </w:rPr>
        <w:t>任何由第三方许可人向目标公司作出的使用许可，均已履行有关核准、备案手续，是完全有效的，并且目标公司均未构成任何该等许可项下的违约，而且第三方许可人均未曾对任何该等许可行使终止权；</w:t>
      </w:r>
    </w:p>
    <w:p>
      <w:pPr>
        <w:numPr>
          <w:ilvl w:val="0"/>
          <w:numId w:val="16"/>
        </w:numPr>
        <w:spacing w:line="460" w:lineRule="exact"/>
        <w:ind w:left="1701" w:hanging="708"/>
        <w:rPr>
          <w:rFonts w:eastAsia="华文细黑"/>
        </w:rPr>
      </w:pPr>
      <w:r>
        <w:rPr>
          <w:rFonts w:hint="eastAsia" w:eastAsia="华文细黑"/>
        </w:rPr>
        <w:t>截至目前，1）不存在任何第三方针对目标公司提出知识产权侵权、未经许可的使用或侵害索赔，或就目标公司自有的或被许可使用的知识产权的效力提出质疑的未决法律程序，并且2）目标公司未接获任何质疑其（全部或部分）拥有的知识产权合法性的通知或主张。3）目标公司对自有知识产权享有的专有权利是合法有效和可强制执行的。4）目标公司自有的或取得许可的知识产权没有受制于未履行的判决、裁定、裁决或决定。</w:t>
      </w:r>
    </w:p>
    <w:p>
      <w:pPr>
        <w:numPr>
          <w:ilvl w:val="1"/>
          <w:numId w:val="3"/>
        </w:numPr>
        <w:spacing w:line="460" w:lineRule="exact"/>
        <w:rPr>
          <w:rFonts w:eastAsia="华文细黑"/>
          <w:b/>
        </w:rPr>
      </w:pPr>
      <w:r>
        <w:rPr>
          <w:rFonts w:hint="eastAsia" w:eastAsia="华文细黑"/>
          <w:b/>
        </w:rPr>
        <w:t>财务制度完备</w:t>
      </w:r>
    </w:p>
    <w:p>
      <w:pPr>
        <w:numPr>
          <w:ilvl w:val="0"/>
          <w:numId w:val="17"/>
        </w:numPr>
        <w:spacing w:line="460" w:lineRule="exact"/>
        <w:ind w:left="1701" w:hanging="708"/>
        <w:rPr>
          <w:rFonts w:eastAsia="华文细黑"/>
        </w:rPr>
      </w:pPr>
      <w:r>
        <w:rPr>
          <w:rFonts w:hint="eastAsia" w:eastAsia="华文细黑"/>
        </w:rPr>
        <w:t>目标公司已建立符合中国会计准则要求之完善财务、会计制度，置备完善之账簿。</w:t>
      </w:r>
    </w:p>
    <w:p>
      <w:pPr>
        <w:numPr>
          <w:ilvl w:val="0"/>
          <w:numId w:val="17"/>
        </w:numPr>
        <w:spacing w:line="460" w:lineRule="exact"/>
        <w:ind w:left="1701" w:hanging="708"/>
        <w:rPr>
          <w:rFonts w:eastAsia="华文细黑"/>
        </w:rPr>
      </w:pPr>
      <w:r>
        <w:rPr>
          <w:rFonts w:hint="eastAsia" w:eastAsia="华文细黑"/>
        </w:rPr>
        <w:t>目标公司提交甲方的财务报表（包括在每一情况下的附注）在所示期间均符合中国会计准则的要求；并且，目标公司在本次交易完成日前所发生的历次税后利润的提取和分配均符合中国法律之要求。</w:t>
      </w:r>
    </w:p>
    <w:p>
      <w:pPr>
        <w:numPr>
          <w:ilvl w:val="1"/>
          <w:numId w:val="3"/>
        </w:numPr>
        <w:spacing w:line="460" w:lineRule="exact"/>
        <w:rPr>
          <w:rFonts w:eastAsia="华文细黑"/>
          <w:b/>
        </w:rPr>
      </w:pPr>
      <w:r>
        <w:rPr>
          <w:rFonts w:hint="eastAsia" w:eastAsia="华文细黑"/>
          <w:b/>
        </w:rPr>
        <w:t>经营</w:t>
      </w:r>
    </w:p>
    <w:p>
      <w:pPr>
        <w:spacing w:line="460" w:lineRule="exact"/>
        <w:ind w:left="1712"/>
        <w:rPr>
          <w:rFonts w:eastAsia="华文细黑"/>
        </w:rPr>
      </w:pPr>
      <w:r>
        <w:rPr>
          <w:rFonts w:hint="eastAsia" w:eastAsia="华文细黑"/>
        </w:rPr>
        <w:t>至本补充协议签署日前，目标公司不存在下述情况：</w:t>
      </w:r>
    </w:p>
    <w:p>
      <w:pPr>
        <w:numPr>
          <w:ilvl w:val="0"/>
          <w:numId w:val="18"/>
        </w:numPr>
        <w:spacing w:line="460" w:lineRule="exact"/>
        <w:rPr>
          <w:rFonts w:eastAsia="华文细黑"/>
        </w:rPr>
      </w:pPr>
      <w:r>
        <w:rPr>
          <w:rFonts w:hint="eastAsia" w:eastAsia="华文细黑"/>
        </w:rPr>
        <w:t>对目标公司使用的资产或经营成果、前景或目标公司目前从事的主营业务造成严重不利影响的任何损坏、破坏或损失；</w:t>
      </w:r>
    </w:p>
    <w:p>
      <w:pPr>
        <w:numPr>
          <w:ilvl w:val="0"/>
          <w:numId w:val="18"/>
        </w:numPr>
        <w:spacing w:line="460" w:lineRule="exact"/>
        <w:rPr>
          <w:rFonts w:eastAsia="华文细黑"/>
        </w:rPr>
      </w:pPr>
      <w:r>
        <w:rPr>
          <w:rFonts w:hint="eastAsia" w:eastAsia="华文细黑"/>
        </w:rPr>
        <w:t>目标公司放弃有价值的权利或应向目标公司偿还的重要债务；</w:t>
      </w:r>
    </w:p>
    <w:p>
      <w:pPr>
        <w:numPr>
          <w:ilvl w:val="0"/>
          <w:numId w:val="18"/>
        </w:numPr>
        <w:spacing w:line="460" w:lineRule="exact"/>
        <w:rPr>
          <w:rFonts w:eastAsia="华文细黑"/>
        </w:rPr>
      </w:pPr>
      <w:r>
        <w:rPr>
          <w:rFonts w:hint="eastAsia" w:eastAsia="华文细黑"/>
        </w:rPr>
        <w:t>目标公司存在可能对目标公司目前从事主营业务的能力产生严重不利影响的事实或情形。</w:t>
      </w:r>
    </w:p>
    <w:p>
      <w:pPr>
        <w:numPr>
          <w:ilvl w:val="1"/>
          <w:numId w:val="3"/>
        </w:numPr>
        <w:spacing w:line="460" w:lineRule="exact"/>
        <w:rPr>
          <w:rFonts w:eastAsia="华文细黑"/>
          <w:b/>
        </w:rPr>
      </w:pPr>
      <w:r>
        <w:rPr>
          <w:rFonts w:hint="eastAsia" w:eastAsia="华文细黑"/>
          <w:b/>
        </w:rPr>
        <w:t>雇员</w:t>
      </w:r>
    </w:p>
    <w:p>
      <w:pPr>
        <w:numPr>
          <w:ilvl w:val="0"/>
          <w:numId w:val="19"/>
        </w:numPr>
        <w:spacing w:line="460" w:lineRule="exact"/>
        <w:rPr>
          <w:rFonts w:eastAsia="华文细黑"/>
        </w:rPr>
      </w:pPr>
      <w:r>
        <w:rPr>
          <w:rFonts w:hint="eastAsia" w:eastAsia="华文细黑"/>
        </w:rPr>
        <w:t>目标公司没有受到罢工、停工或其他重大劳资纠纷的威胁；目标公司已遵守所有关于劳动雇用、社会保险、劳动保护、报酬支付方面的法律规定；</w:t>
      </w:r>
    </w:p>
    <w:p>
      <w:pPr>
        <w:numPr>
          <w:ilvl w:val="0"/>
          <w:numId w:val="19"/>
        </w:numPr>
        <w:spacing w:line="460" w:lineRule="exact"/>
        <w:rPr>
          <w:rFonts w:eastAsia="华文细黑"/>
        </w:rPr>
      </w:pPr>
      <w:r>
        <w:rPr>
          <w:rFonts w:hint="eastAsia" w:eastAsia="华文细黑"/>
        </w:rPr>
        <w:t>除法律要求以外，目标公司没有和员工签订补偿协议或股权激励机制、离职费支付、利润分成计划、退休协议等其他类似补偿安排；</w:t>
      </w:r>
    </w:p>
    <w:p>
      <w:pPr>
        <w:numPr>
          <w:ilvl w:val="0"/>
          <w:numId w:val="19"/>
        </w:numPr>
        <w:spacing w:line="460" w:lineRule="exact"/>
        <w:rPr>
          <w:rFonts w:eastAsia="华文细黑"/>
        </w:rPr>
      </w:pPr>
      <w:r>
        <w:rPr>
          <w:rFonts w:hint="eastAsia" w:eastAsia="华文细黑"/>
        </w:rPr>
        <w:t>除在本补充协议签署前已经向甲方披露的以外，就雇员个人和目标公司各自应向有关政府机关缴纳的按有关政府机关规定的计算标准计算出来的各项社会保险、住房公积金、个人所得税等，目标公司不存在任何欠缴或未足额缴纳的行为；</w:t>
      </w:r>
    </w:p>
    <w:p>
      <w:pPr>
        <w:numPr>
          <w:ilvl w:val="0"/>
          <w:numId w:val="19"/>
        </w:numPr>
        <w:spacing w:line="460" w:lineRule="exact"/>
        <w:rPr>
          <w:rFonts w:eastAsia="华文细黑"/>
        </w:rPr>
      </w:pPr>
      <w:r>
        <w:rPr>
          <w:rFonts w:hint="eastAsia" w:eastAsia="华文细黑"/>
        </w:rPr>
        <w:t>根据目标公司和丙方所知，目标公司的高级职员、主要员工均未意图终止受聘于目标公司，而且目标公司现时也未意图终止聘用上述雇员。</w:t>
      </w:r>
    </w:p>
    <w:p>
      <w:pPr>
        <w:numPr>
          <w:ilvl w:val="1"/>
          <w:numId w:val="3"/>
        </w:numPr>
        <w:spacing w:line="460" w:lineRule="exact"/>
        <w:rPr>
          <w:rFonts w:eastAsia="华文细黑"/>
          <w:b/>
        </w:rPr>
      </w:pPr>
      <w:r>
        <w:rPr>
          <w:rFonts w:hint="eastAsia" w:eastAsia="华文细黑"/>
          <w:b/>
        </w:rPr>
        <w:t>无诉讼</w:t>
      </w:r>
    </w:p>
    <w:p>
      <w:pPr>
        <w:numPr>
          <w:ilvl w:val="0"/>
          <w:numId w:val="20"/>
        </w:numPr>
        <w:spacing w:line="460" w:lineRule="exact"/>
        <w:rPr>
          <w:rFonts w:eastAsia="华文细黑"/>
        </w:rPr>
      </w:pPr>
      <w:r>
        <w:rPr>
          <w:rFonts w:hint="eastAsia" w:eastAsia="华文细黑"/>
        </w:rPr>
        <w:t>目标公司没有参与任何诉讼、仲裁或任何政府调查，也不是诉讼、仲裁或任何政府调查的当事人。目标公司的任何股权持有人或任何董事、高级雇员或代理人均没有参与任何已对或可能对目标公司造成不利影响的诉讼、仲裁或任何政府调查，也不是上述诉讼、仲裁或任何政府调查的当事人。</w:t>
      </w:r>
    </w:p>
    <w:p>
      <w:pPr>
        <w:numPr>
          <w:ilvl w:val="0"/>
          <w:numId w:val="20"/>
        </w:numPr>
        <w:spacing w:line="460" w:lineRule="exact"/>
        <w:rPr>
          <w:rFonts w:eastAsia="华文细黑"/>
        </w:rPr>
      </w:pPr>
      <w:r>
        <w:rPr>
          <w:rFonts w:hint="eastAsia" w:eastAsia="华文细黑"/>
        </w:rPr>
        <w:t>目标公司</w:t>
      </w:r>
      <w:r>
        <w:rPr>
          <w:rFonts w:eastAsia="华文细黑"/>
        </w:rPr>
        <w:t>不存在任何未决的、或就</w:t>
      </w:r>
      <w:r>
        <w:rPr>
          <w:rFonts w:hint="eastAsia" w:eastAsia="华文细黑"/>
        </w:rPr>
        <w:t>目标公司</w:t>
      </w:r>
      <w:r>
        <w:rPr>
          <w:rFonts w:eastAsia="华文细黑"/>
        </w:rPr>
        <w:t>所知</w:t>
      </w:r>
      <w:r>
        <w:rPr>
          <w:rFonts w:hint="eastAsia" w:eastAsia="华文细黑"/>
        </w:rPr>
        <w:t>，</w:t>
      </w:r>
      <w:r>
        <w:rPr>
          <w:rFonts w:eastAsia="华文细黑"/>
        </w:rPr>
        <w:t>可能对</w:t>
      </w:r>
      <w:r>
        <w:rPr>
          <w:rFonts w:hint="eastAsia" w:eastAsia="华文细黑"/>
        </w:rPr>
        <w:t>目标公司</w:t>
      </w:r>
      <w:r>
        <w:rPr>
          <w:rFonts w:eastAsia="华文细黑"/>
        </w:rPr>
        <w:t>提起的任何诉讼、仲裁、或法律、行政或其他程序或政府调查</w:t>
      </w:r>
      <w:r>
        <w:rPr>
          <w:rFonts w:hint="eastAsia" w:eastAsia="华文细黑"/>
        </w:rPr>
        <w:t>；不存在任何未决的、可能的、可预见的，针对目标公司的股权持有人或任何董事、高级雇员或代理人且可能对目标公司造成不利影响的</w:t>
      </w:r>
      <w:r>
        <w:rPr>
          <w:rFonts w:eastAsia="华文细黑"/>
        </w:rPr>
        <w:t>任何诉讼、仲裁、或法律、行政或其他程序或政府调查</w:t>
      </w:r>
      <w:r>
        <w:rPr>
          <w:rFonts w:hint="eastAsia" w:eastAsia="华文细黑"/>
        </w:rPr>
        <w:t>。</w:t>
      </w:r>
    </w:p>
    <w:p>
      <w:pPr>
        <w:numPr>
          <w:ilvl w:val="1"/>
          <w:numId w:val="3"/>
        </w:numPr>
        <w:spacing w:line="460" w:lineRule="exact"/>
        <w:rPr>
          <w:rFonts w:eastAsia="华文细黑"/>
          <w:b/>
        </w:rPr>
      </w:pPr>
      <w:r>
        <w:rPr>
          <w:rFonts w:hint="eastAsia" w:eastAsia="华文细黑"/>
          <w:b/>
        </w:rPr>
        <w:t>无资不抵债</w:t>
      </w:r>
    </w:p>
    <w:p>
      <w:pPr>
        <w:spacing w:line="460" w:lineRule="exact"/>
        <w:ind w:left="992"/>
        <w:rPr>
          <w:rFonts w:eastAsia="华文细黑"/>
        </w:rPr>
      </w:pPr>
      <w:r>
        <w:rPr>
          <w:rFonts w:hint="eastAsia" w:eastAsia="华文细黑"/>
        </w:rPr>
        <w:t>丙方没有作出任何结束目标公司营业的命令，或就此通过决议，或为目标公司委任临时的财产清算人，或为结束目标公司营业提交申请或召开会议。没有为目标公司或其所有或任何资产委任破产管理人。目标公司不存在资不抵债或无法支付其到期债务的情况。</w:t>
      </w:r>
    </w:p>
    <w:p>
      <w:pPr>
        <w:numPr>
          <w:ilvl w:val="1"/>
          <w:numId w:val="3"/>
        </w:numPr>
        <w:spacing w:line="460" w:lineRule="exact"/>
        <w:rPr>
          <w:rFonts w:eastAsia="华文细黑"/>
        </w:rPr>
      </w:pPr>
      <w:r>
        <w:rPr>
          <w:rFonts w:hint="eastAsia" w:eastAsia="华文细黑"/>
        </w:rPr>
        <w:t>目标公司在本次交易之前发生的未付员工社会保险费用（包括住房公积金）导致的清偿或给付责任，全部由丙方承担，本次交易完成后目标公司因前述事项而遭受的损失、支出的费用，丙方应给予目标公司足额补偿。</w:t>
      </w:r>
    </w:p>
    <w:p>
      <w:pPr>
        <w:numPr>
          <w:ilvl w:val="1"/>
          <w:numId w:val="3"/>
        </w:numPr>
        <w:spacing w:line="460" w:lineRule="exact"/>
        <w:rPr>
          <w:rFonts w:eastAsia="华文细黑"/>
        </w:rPr>
      </w:pPr>
      <w:r>
        <w:rPr>
          <w:rFonts w:hint="eastAsia" w:eastAsia="华文细黑"/>
        </w:rPr>
        <w:t>目标公司在本次交易完成之前发生的、未向甲方披露的任何性质的负债、未付税款和政府规费或其他原因导致的清偿或给付责任，全部由丙方承担，本次交易完成后目标公司因前述事项而遭受的损失、支出的费用，丙方应给予目标公司足额补偿。</w:t>
      </w:r>
    </w:p>
    <w:p>
      <w:pPr>
        <w:numPr>
          <w:ilvl w:val="1"/>
          <w:numId w:val="3"/>
        </w:numPr>
        <w:spacing w:line="460" w:lineRule="exact"/>
        <w:rPr>
          <w:rFonts w:eastAsia="华文细黑"/>
        </w:rPr>
      </w:pPr>
      <w:r>
        <w:rPr>
          <w:rFonts w:hint="eastAsia" w:eastAsia="华文细黑"/>
        </w:rPr>
        <w:t>上述陈述、保证如实质上（不论有无过错）不真实或有重大遗漏而令目标公司或甲方受到损失，丙方应向目标公司及甲方作出充分的赔偿，赔偿金额应不低于甲方增资总额的20%，</w:t>
      </w:r>
      <w:r>
        <w:rPr>
          <w:rFonts w:hint="eastAsia" w:eastAsia="华文细黑"/>
          <w:u w:val="single"/>
        </w:rPr>
        <w:t>丙方（1）和丙方（2）</w:t>
      </w:r>
      <w:r>
        <w:rPr>
          <w:rFonts w:hint="eastAsia" w:eastAsia="华文细黑"/>
        </w:rPr>
        <w:t>之间承担连带赔偿责任。</w:t>
      </w:r>
    </w:p>
    <w:p>
      <w:pPr>
        <w:numPr>
          <w:ilvl w:val="1"/>
          <w:numId w:val="3"/>
        </w:numPr>
        <w:spacing w:line="460" w:lineRule="exact"/>
        <w:rPr>
          <w:rFonts w:eastAsia="华文细黑"/>
        </w:rPr>
      </w:pPr>
      <w:r>
        <w:rPr>
          <w:rFonts w:hint="eastAsia" w:eastAsia="华文细黑"/>
        </w:rPr>
        <w:t>《投资协议书》及本补充协议中任何涉及甲方权利实现，目标公司及丙方承诺、陈述与保证、义务履行、违约责任等事项，均由丙方向甲方承担连带责任。</w:t>
      </w:r>
    </w:p>
    <w:p>
      <w:pPr>
        <w:numPr>
          <w:ilvl w:val="0"/>
          <w:numId w:val="3"/>
        </w:numPr>
        <w:spacing w:before="312" w:beforeLines="100" w:line="460" w:lineRule="exact"/>
        <w:ind w:hangingChars="177"/>
        <w:outlineLvl w:val="1"/>
        <w:rPr>
          <w:rFonts w:eastAsia="华文细黑"/>
          <w:b/>
        </w:rPr>
      </w:pPr>
      <w:bookmarkStart w:id="7" w:name="_Toc422314078"/>
      <w:r>
        <w:rPr>
          <w:rFonts w:hint="eastAsia" w:eastAsia="华文细黑"/>
          <w:b/>
        </w:rPr>
        <w:t>本次交易完成后的承诺</w:t>
      </w:r>
      <w:bookmarkEnd w:id="7"/>
    </w:p>
    <w:p>
      <w:pPr>
        <w:numPr>
          <w:ilvl w:val="1"/>
          <w:numId w:val="3"/>
        </w:numPr>
        <w:spacing w:line="460" w:lineRule="exact"/>
        <w:rPr>
          <w:rFonts w:eastAsia="华文细黑"/>
          <w:b/>
        </w:rPr>
      </w:pPr>
      <w:r>
        <w:rPr>
          <w:rFonts w:hint="eastAsia" w:eastAsia="华文细黑"/>
        </w:rPr>
        <w:t>对外股权投资披露</w:t>
      </w:r>
    </w:p>
    <w:p>
      <w:pPr>
        <w:spacing w:line="460" w:lineRule="exact"/>
        <w:ind w:left="992"/>
        <w:rPr>
          <w:rFonts w:eastAsia="华文细黑"/>
          <w:b/>
        </w:rPr>
      </w:pPr>
      <w:r>
        <w:rPr>
          <w:rFonts w:hint="eastAsia" w:eastAsia="华文细黑"/>
        </w:rPr>
        <w:t>丙方承诺，丙方及目标公司的核心管理人员（详见附件二）将在相关情形发生后的第一时间向甲方披露其全部对外股权投资信息，包括目前已投资项目和未来投资项目。</w:t>
      </w:r>
    </w:p>
    <w:p>
      <w:pPr>
        <w:numPr>
          <w:ilvl w:val="1"/>
          <w:numId w:val="3"/>
        </w:numPr>
        <w:spacing w:line="460" w:lineRule="exact"/>
        <w:rPr>
          <w:rFonts w:eastAsia="华文细黑"/>
        </w:rPr>
      </w:pPr>
      <w:r>
        <w:rPr>
          <w:rFonts w:hint="eastAsia" w:eastAsia="华文细黑"/>
        </w:rPr>
        <w:t>合理使用本次增资款</w:t>
      </w:r>
    </w:p>
    <w:p>
      <w:pPr>
        <w:spacing w:line="460" w:lineRule="exact"/>
        <w:ind w:left="992"/>
        <w:rPr>
          <w:rFonts w:eastAsia="华文细黑"/>
        </w:rPr>
      </w:pPr>
      <w:r>
        <w:rPr>
          <w:rFonts w:hint="eastAsia" w:eastAsia="华文细黑"/>
        </w:rPr>
        <w:t>丙方承诺，甲方本次向目标公司增资的资金应用于目标公司的主营业务，并得到最大化效率使用。丙方承诺，将根据本补充协议附件三所列示计划使用本次增资款，并接受甲方的监督。</w:t>
      </w:r>
    </w:p>
    <w:p>
      <w:pPr>
        <w:numPr>
          <w:ilvl w:val="1"/>
          <w:numId w:val="3"/>
        </w:numPr>
        <w:spacing w:line="460" w:lineRule="exact"/>
        <w:rPr>
          <w:rFonts w:eastAsia="华文细黑"/>
        </w:rPr>
      </w:pPr>
      <w:r>
        <w:rPr>
          <w:rFonts w:hint="eastAsia" w:eastAsia="华文细黑"/>
        </w:rPr>
        <w:t>丙方承诺，丙方将不会通过直接或间接控制的其他经营实体或以自然人名义从事与甲方及目标公司相同或类似的业务；不会在与甲方或目标公司存在相同或类似业务的任何经营实体中任职或担任任何形式的顾问；也不会以非甲方或目标公司的名义为甲方及目标公司的原有客户提供与甲方或目标公司所从事业务相同或类似的商品或服务；并将会避免任何其它同业竞争行为。</w:t>
      </w:r>
    </w:p>
    <w:p>
      <w:pPr>
        <w:numPr>
          <w:ilvl w:val="1"/>
          <w:numId w:val="3"/>
        </w:numPr>
        <w:spacing w:line="460" w:lineRule="exact"/>
        <w:rPr>
          <w:rFonts w:eastAsia="华文细黑"/>
        </w:rPr>
      </w:pPr>
      <w:r>
        <w:rPr>
          <w:rFonts w:hint="eastAsia" w:eastAsia="华文细黑"/>
        </w:rPr>
        <w:t>丙方承诺，将避免一切非法占用甲方及目标公司的资金、资产的行为，在任何情况下，不要求甲方及目标公司向本人及本人投资或控制的其他法人提供任何形式的担保；将尽可能地避免和减少与目标公司的关联交易；如关联交易无法避免，则保证按照公平、公开的市场原则进行，依法签订协议，履行合法程序，按照有关法律、法规、规范性文件和目标公司章程的规定履行信息披露义务和办理有关报批程序，保证不通过关联交易损害甲方及其他股东的合法权益。</w:t>
      </w:r>
    </w:p>
    <w:p>
      <w:pPr>
        <w:numPr>
          <w:ilvl w:val="1"/>
          <w:numId w:val="3"/>
        </w:numPr>
        <w:spacing w:line="460" w:lineRule="exact"/>
        <w:rPr>
          <w:rFonts w:eastAsia="华文细黑"/>
        </w:rPr>
      </w:pPr>
      <w:r>
        <w:rPr>
          <w:rFonts w:hint="eastAsia" w:eastAsia="华文细黑"/>
          <w:u w:val="single"/>
        </w:rPr>
        <w:t>丙方（1）及丙方（2）</w:t>
      </w:r>
      <w:r>
        <w:rPr>
          <w:rFonts w:hint="eastAsia" w:eastAsia="华文细黑"/>
        </w:rPr>
        <w:t>作为目标公司的核心管理人员，承诺在本次交易完成后至少五年内继续在目标公司担任经营管理职务，未经甲方同意，不得从目标公司离职，并尽可能为目标公司创造最佳业绩；且未经甲方同意，</w:t>
      </w:r>
      <w:r>
        <w:rPr>
          <w:rFonts w:hint="eastAsia" w:eastAsia="华文细黑"/>
          <w:u w:val="single"/>
        </w:rPr>
        <w:t>丙方（1）及丙方（2）</w:t>
      </w:r>
      <w:r>
        <w:rPr>
          <w:rFonts w:hint="eastAsia" w:eastAsia="华文细黑"/>
        </w:rPr>
        <w:t>不得在其他任何公司兼职。</w:t>
      </w:r>
    </w:p>
    <w:p>
      <w:pPr>
        <w:numPr>
          <w:ilvl w:val="1"/>
          <w:numId w:val="3"/>
        </w:numPr>
        <w:spacing w:line="460" w:lineRule="exact"/>
        <w:rPr>
          <w:rFonts w:eastAsia="华文细黑"/>
        </w:rPr>
      </w:pPr>
      <w:r>
        <w:rPr>
          <w:rFonts w:hint="eastAsia" w:eastAsia="华文细黑"/>
        </w:rPr>
        <w:t>丙方及目标公司承诺，在本次交易完成后五年内，未经甲方事先书面同意，（1）丙方不得向任何第三方转让其持有的目标公司股权，（2）目标公司不得以增资或其他形式引入其它投资者，（3）丙方持有的目标公司股权不得进行质押或设置任何其它权利负担。</w:t>
      </w:r>
    </w:p>
    <w:p>
      <w:pPr>
        <w:numPr>
          <w:ilvl w:val="1"/>
          <w:numId w:val="3"/>
        </w:numPr>
        <w:spacing w:line="460" w:lineRule="exact"/>
        <w:rPr>
          <w:rFonts w:eastAsia="华文细黑"/>
        </w:rPr>
      </w:pPr>
      <w:r>
        <w:rPr>
          <w:rFonts w:hint="eastAsia" w:eastAsia="华文细黑"/>
        </w:rPr>
        <w:t>丙方承诺，应促使目标公司遵守中国国家和地方相关税收法规及要求，并争取依法可享有的各项税收优惠和政府补贴。</w:t>
      </w:r>
    </w:p>
    <w:p>
      <w:pPr>
        <w:numPr>
          <w:ilvl w:val="1"/>
          <w:numId w:val="3"/>
        </w:numPr>
        <w:spacing w:line="460" w:lineRule="exact"/>
        <w:rPr>
          <w:rFonts w:eastAsia="华文细黑"/>
        </w:rPr>
      </w:pPr>
      <w:r>
        <w:rPr>
          <w:rFonts w:hint="eastAsia" w:eastAsia="华文细黑"/>
        </w:rPr>
        <w:t>丙方承诺，应促使目标公司遵守相关国家和地方的社会保险、住房公积金及员工福利的规定和要求。</w:t>
      </w:r>
    </w:p>
    <w:p>
      <w:pPr>
        <w:numPr>
          <w:ilvl w:val="0"/>
          <w:numId w:val="3"/>
        </w:numPr>
        <w:spacing w:before="312" w:beforeLines="100" w:line="460" w:lineRule="exact"/>
        <w:ind w:hangingChars="177"/>
        <w:outlineLvl w:val="1"/>
        <w:rPr>
          <w:rFonts w:eastAsia="华文细黑"/>
          <w:b/>
        </w:rPr>
      </w:pPr>
      <w:bookmarkStart w:id="8" w:name="_Toc422314079"/>
      <w:bookmarkEnd w:id="8"/>
      <w:bookmarkStart w:id="9" w:name="_Toc422314080"/>
      <w:bookmarkEnd w:id="9"/>
      <w:bookmarkStart w:id="10" w:name="_Toc422314081"/>
      <w:bookmarkEnd w:id="10"/>
      <w:bookmarkStart w:id="11" w:name="_Toc422314082"/>
      <w:bookmarkEnd w:id="11"/>
      <w:bookmarkStart w:id="12" w:name="_Toc422314083"/>
      <w:bookmarkEnd w:id="12"/>
      <w:bookmarkStart w:id="13" w:name="_Toc422314084"/>
      <w:r>
        <w:rPr>
          <w:rFonts w:hint="eastAsia" w:eastAsia="华文细黑"/>
          <w:b/>
        </w:rPr>
        <w:t>其他</w:t>
      </w:r>
      <w:bookmarkEnd w:id="13"/>
    </w:p>
    <w:p>
      <w:pPr>
        <w:numPr>
          <w:ilvl w:val="1"/>
          <w:numId w:val="3"/>
        </w:numPr>
        <w:spacing w:line="460" w:lineRule="exact"/>
        <w:rPr>
          <w:rFonts w:eastAsia="华文细黑"/>
        </w:rPr>
      </w:pPr>
      <w:r>
        <w:rPr>
          <w:rFonts w:hint="eastAsia" w:eastAsia="华文细黑"/>
        </w:rPr>
        <w:t>本补充协议为《投资协议书》的补充，与《投资协议书》具有同等法律效力。</w:t>
      </w:r>
    </w:p>
    <w:p>
      <w:pPr>
        <w:numPr>
          <w:ilvl w:val="1"/>
          <w:numId w:val="3"/>
        </w:numPr>
        <w:spacing w:line="460" w:lineRule="exact"/>
        <w:rPr>
          <w:rFonts w:eastAsia="华文细黑"/>
        </w:rPr>
      </w:pPr>
      <w:r>
        <w:rPr>
          <w:rFonts w:hint="eastAsia" w:eastAsia="华文细黑"/>
        </w:rPr>
        <w:t>本补充协议未约定之保密义务、违约责任、不可抗力、法律适用及争议解决、</w:t>
      </w:r>
      <w:r>
        <w:rPr>
          <w:rFonts w:eastAsia="华文细黑"/>
        </w:rPr>
        <w:t>协议的</w:t>
      </w:r>
      <w:r>
        <w:rPr>
          <w:rFonts w:hint="eastAsia" w:eastAsia="华文细黑"/>
        </w:rPr>
        <w:t>效力及</w:t>
      </w:r>
      <w:r>
        <w:rPr>
          <w:rFonts w:eastAsia="华文细黑"/>
        </w:rPr>
        <w:t>修改、变更和终止</w:t>
      </w:r>
      <w:r>
        <w:rPr>
          <w:rFonts w:hint="eastAsia" w:eastAsia="华文细黑"/>
        </w:rPr>
        <w:t>等，适用《投资协议书》之约定。</w:t>
      </w:r>
    </w:p>
    <w:p>
      <w:pPr>
        <w:numPr>
          <w:ilvl w:val="0"/>
          <w:numId w:val="3"/>
        </w:numPr>
        <w:spacing w:before="312" w:beforeLines="100" w:line="460" w:lineRule="exact"/>
        <w:ind w:hangingChars="177"/>
        <w:outlineLvl w:val="1"/>
        <w:rPr>
          <w:rFonts w:eastAsia="华文细黑"/>
        </w:rPr>
      </w:pPr>
      <w:bookmarkStart w:id="14" w:name="_Toc422314085"/>
      <w:r>
        <w:rPr>
          <w:rFonts w:eastAsia="华文细黑"/>
          <w:b/>
        </w:rPr>
        <w:t>附则</w:t>
      </w:r>
      <w:bookmarkEnd w:id="14"/>
    </w:p>
    <w:p>
      <w:pPr>
        <w:numPr>
          <w:ilvl w:val="1"/>
          <w:numId w:val="3"/>
        </w:numPr>
        <w:spacing w:line="460" w:lineRule="exact"/>
        <w:rPr>
          <w:rFonts w:eastAsia="华文细黑"/>
        </w:rPr>
      </w:pPr>
      <w:r>
        <w:rPr>
          <w:rFonts w:eastAsia="华文细黑"/>
        </w:rPr>
        <w:t>本</w:t>
      </w:r>
      <w:r>
        <w:rPr>
          <w:rFonts w:hint="eastAsia" w:eastAsia="华文细黑"/>
        </w:rPr>
        <w:t>补充</w:t>
      </w:r>
      <w:r>
        <w:rPr>
          <w:rFonts w:eastAsia="华文细黑"/>
        </w:rPr>
        <w:t>协议一式</w:t>
      </w:r>
      <w:r>
        <w:rPr>
          <w:rFonts w:hint="eastAsia" w:eastAsia="华文细黑"/>
          <w:u w:val="single"/>
        </w:rPr>
        <w:t xml:space="preserve">      </w:t>
      </w:r>
      <w:r>
        <w:rPr>
          <w:rFonts w:eastAsia="华文细黑"/>
        </w:rPr>
        <w:t>份，乙方留存一份，其他协议各方各执一份，各份协议具有同等法律效力。</w:t>
      </w:r>
    </w:p>
    <w:p>
      <w:pPr>
        <w:numPr>
          <w:ilvl w:val="1"/>
          <w:numId w:val="3"/>
        </w:numPr>
        <w:spacing w:line="460" w:lineRule="exact"/>
        <w:rPr>
          <w:rFonts w:eastAsia="华文细黑"/>
        </w:rPr>
      </w:pPr>
      <w:r>
        <w:rPr>
          <w:rFonts w:eastAsia="华文细黑"/>
          <w:szCs w:val="24"/>
        </w:rPr>
        <w:t>如果本</w:t>
      </w:r>
      <w:r>
        <w:rPr>
          <w:rFonts w:hint="eastAsia" w:eastAsia="华文细黑"/>
          <w:szCs w:val="24"/>
        </w:rPr>
        <w:t>补充</w:t>
      </w:r>
      <w:r>
        <w:rPr>
          <w:rFonts w:eastAsia="华文细黑"/>
          <w:szCs w:val="24"/>
        </w:rPr>
        <w:t>协议的任何条款因任何原因被判决或裁定为无效，则该条款应当视为与本</w:t>
      </w:r>
      <w:r>
        <w:rPr>
          <w:rFonts w:hint="eastAsia" w:eastAsia="华文细黑"/>
          <w:szCs w:val="24"/>
        </w:rPr>
        <w:t>补充</w:t>
      </w:r>
      <w:r>
        <w:rPr>
          <w:rFonts w:eastAsia="华文细黑"/>
          <w:szCs w:val="24"/>
        </w:rPr>
        <w:t>协议其他条款分割，该条款的无效并不影响本</w:t>
      </w:r>
      <w:r>
        <w:rPr>
          <w:rFonts w:hint="eastAsia" w:eastAsia="华文细黑"/>
          <w:szCs w:val="24"/>
        </w:rPr>
        <w:t>补充</w:t>
      </w:r>
      <w:r>
        <w:rPr>
          <w:rFonts w:eastAsia="华文细黑"/>
          <w:szCs w:val="24"/>
        </w:rPr>
        <w:t>协议其余条款的有效性和可强制</w:t>
      </w:r>
      <w:r>
        <w:rPr>
          <w:rFonts w:hint="eastAsia" w:eastAsia="华文细黑"/>
          <w:szCs w:val="24"/>
        </w:rPr>
        <w:t>性</w:t>
      </w:r>
      <w:r>
        <w:rPr>
          <w:rFonts w:eastAsia="华文细黑"/>
          <w:szCs w:val="24"/>
        </w:rPr>
        <w:t>执行</w:t>
      </w:r>
      <w:r>
        <w:rPr>
          <w:rFonts w:hint="eastAsia" w:eastAsia="华文细黑"/>
          <w:szCs w:val="24"/>
        </w:rPr>
        <w:t>，各方</w:t>
      </w:r>
      <w:r>
        <w:rPr>
          <w:rFonts w:eastAsia="华文细黑"/>
          <w:szCs w:val="24"/>
        </w:rPr>
        <w:t>应尽力达成新的条款，使其尽可能接近协议</w:t>
      </w:r>
      <w:r>
        <w:rPr>
          <w:rFonts w:hint="eastAsia" w:eastAsia="华文细黑"/>
          <w:szCs w:val="24"/>
        </w:rPr>
        <w:t>各方</w:t>
      </w:r>
      <w:r>
        <w:rPr>
          <w:rFonts w:eastAsia="华文细黑"/>
          <w:szCs w:val="24"/>
        </w:rPr>
        <w:t>订立原条款时的意思表示。</w:t>
      </w:r>
    </w:p>
    <w:p>
      <w:pPr>
        <w:suppressAutoHyphens/>
        <w:spacing w:line="360" w:lineRule="auto"/>
        <w:rPr>
          <w:rFonts w:eastAsia="华文细黑"/>
        </w:rPr>
      </w:pPr>
    </w:p>
    <w:p>
      <w:pPr>
        <w:suppressAutoHyphens/>
        <w:spacing w:line="360" w:lineRule="auto"/>
        <w:rPr>
          <w:rFonts w:eastAsia="华文细黑"/>
          <w:b/>
        </w:rPr>
      </w:pPr>
      <w:r>
        <w:rPr>
          <w:rFonts w:eastAsia="华文细黑"/>
        </w:rPr>
        <w:t>（以下无正文）</w:t>
      </w:r>
      <w:r>
        <w:rPr>
          <w:rFonts w:eastAsia="华文细黑"/>
        </w:rPr>
        <w:br w:type="page"/>
      </w:r>
      <w:r>
        <w:rPr>
          <w:rFonts w:eastAsia="华文细黑"/>
        </w:rPr>
        <w:t>（本页无正文，为《</w:t>
      </w:r>
      <w:r>
        <w:rPr>
          <w:rFonts w:hint="eastAsia" w:eastAsia="华文细黑"/>
        </w:rPr>
        <w:t>投资</w:t>
      </w:r>
      <w:r>
        <w:rPr>
          <w:rFonts w:eastAsia="华文细黑"/>
        </w:rPr>
        <w:t>协议</w:t>
      </w:r>
      <w:r>
        <w:rPr>
          <w:rFonts w:hint="eastAsia" w:eastAsia="华文细黑"/>
        </w:rPr>
        <w:t>之补充协议</w:t>
      </w:r>
      <w:r>
        <w:rPr>
          <w:rFonts w:eastAsia="华文细黑"/>
        </w:rPr>
        <w:t>书》之签署页）</w:t>
      </w:r>
    </w:p>
    <w:p>
      <w:pPr>
        <w:spacing w:before="156" w:beforeLines="50" w:after="156" w:afterLines="50" w:line="440" w:lineRule="exact"/>
        <w:rPr>
          <w:rFonts w:eastAsia="华文细黑"/>
          <w:b/>
          <w:szCs w:val="24"/>
        </w:rPr>
      </w:pPr>
    </w:p>
    <w:p>
      <w:pPr>
        <w:spacing w:before="156" w:beforeLines="50" w:after="156" w:afterLines="50" w:line="440" w:lineRule="exact"/>
        <w:rPr>
          <w:rFonts w:eastAsia="华文细黑"/>
          <w:b/>
          <w:szCs w:val="24"/>
        </w:rPr>
      </w:pPr>
      <w:r>
        <w:rPr>
          <w:rFonts w:eastAsia="华文细黑"/>
          <w:b/>
          <w:szCs w:val="24"/>
        </w:rPr>
        <w:t>甲方：</w:t>
      </w:r>
      <w:r>
        <w:rPr>
          <w:b/>
        </w:rPr>
        <w:t>金葵花网络科技有限公司</w:t>
      </w:r>
      <w:r>
        <w:rPr>
          <w:rFonts w:eastAsia="华文细黑"/>
          <w:szCs w:val="24"/>
        </w:rPr>
        <w:t>（盖章）</w:t>
      </w:r>
    </w:p>
    <w:p>
      <w:pPr>
        <w:spacing w:before="156" w:beforeLines="50" w:after="156" w:afterLines="50" w:line="440" w:lineRule="exact"/>
        <w:rPr>
          <w:rFonts w:eastAsia="华文细黑"/>
          <w:szCs w:val="24"/>
        </w:rPr>
      </w:pPr>
      <w:r>
        <w:rPr>
          <w:rFonts w:eastAsia="华文细黑"/>
          <w:szCs w:val="24"/>
        </w:rPr>
        <w:t>法定代表人或授权代表：</w:t>
      </w:r>
      <w:r>
        <w:rPr>
          <w:rFonts w:eastAsia="华文细黑"/>
          <w:szCs w:val="24"/>
          <w:u w:val="single"/>
        </w:rPr>
        <w:t xml:space="preserve">                       </w:t>
      </w:r>
      <w:r>
        <w:rPr>
          <w:rFonts w:eastAsia="华文细黑"/>
          <w:szCs w:val="24"/>
        </w:rPr>
        <w:t>（签字）</w:t>
      </w:r>
    </w:p>
    <w:p>
      <w:pPr>
        <w:spacing w:before="156" w:beforeLines="50" w:after="156" w:afterLines="50" w:line="440" w:lineRule="exact"/>
        <w:rPr>
          <w:rFonts w:eastAsia="华文细黑"/>
          <w:szCs w:val="24"/>
        </w:rPr>
      </w:pPr>
    </w:p>
    <w:p>
      <w:pPr>
        <w:spacing w:before="156" w:beforeLines="50" w:after="156" w:afterLines="50" w:line="440" w:lineRule="exact"/>
        <w:rPr>
          <w:rFonts w:eastAsia="华文细黑"/>
          <w:szCs w:val="24"/>
        </w:rPr>
      </w:pPr>
    </w:p>
    <w:p>
      <w:pPr>
        <w:spacing w:before="156" w:beforeLines="50" w:after="156" w:afterLines="50" w:line="440" w:lineRule="exact"/>
        <w:rPr>
          <w:rFonts w:eastAsia="华文细黑"/>
          <w:b/>
          <w:szCs w:val="24"/>
        </w:rPr>
      </w:pPr>
      <w:r>
        <w:rPr>
          <w:rFonts w:eastAsia="华文细黑"/>
          <w:b/>
          <w:szCs w:val="24"/>
        </w:rPr>
        <w:t>乙方：</w:t>
      </w:r>
      <w:r>
        <w:rPr>
          <w:rFonts w:hint="eastAsia"/>
          <w:b/>
          <w:u w:val="single"/>
        </w:rPr>
        <w:t xml:space="preserve">              </w:t>
      </w:r>
      <w:r>
        <w:rPr>
          <w:b/>
        </w:rPr>
        <w:t>有限公司</w:t>
      </w:r>
      <w:r>
        <w:rPr>
          <w:rFonts w:eastAsia="华文细黑"/>
          <w:szCs w:val="24"/>
        </w:rPr>
        <w:t>（盖章）</w:t>
      </w:r>
    </w:p>
    <w:p>
      <w:pPr>
        <w:spacing w:before="156" w:beforeLines="50" w:after="156" w:afterLines="50" w:line="440" w:lineRule="exact"/>
        <w:rPr>
          <w:rFonts w:eastAsia="华文细黑"/>
          <w:szCs w:val="24"/>
        </w:rPr>
      </w:pPr>
      <w:r>
        <w:rPr>
          <w:rFonts w:eastAsia="华文细黑"/>
          <w:szCs w:val="24"/>
        </w:rPr>
        <w:t>法定代表人或授权代表：</w:t>
      </w:r>
      <w:r>
        <w:rPr>
          <w:rFonts w:eastAsia="华文细黑"/>
          <w:szCs w:val="24"/>
          <w:u w:val="single"/>
        </w:rPr>
        <w:t xml:space="preserve">                   </w:t>
      </w:r>
      <w:r>
        <w:rPr>
          <w:rFonts w:eastAsia="华文细黑"/>
          <w:szCs w:val="24"/>
        </w:rPr>
        <w:t xml:space="preserve">（签字） </w:t>
      </w:r>
    </w:p>
    <w:p>
      <w:pPr>
        <w:rPr>
          <w:rFonts w:eastAsia="华文细黑"/>
        </w:rPr>
        <w:sectPr>
          <w:headerReference r:id="rId5" w:type="first"/>
          <w:footerReference r:id="rId8" w:type="first"/>
          <w:headerReference r:id="rId3" w:type="default"/>
          <w:footerReference r:id="rId6" w:type="default"/>
          <w:headerReference r:id="rId4" w:type="even"/>
          <w:footerReference r:id="rId7" w:type="even"/>
          <w:pgSz w:w="11906" w:h="16838"/>
          <w:pgMar w:top="1383" w:right="1797" w:bottom="1440" w:left="1797" w:header="851" w:footer="992" w:gutter="0"/>
          <w:pgNumType w:start="0"/>
          <w:cols w:space="720" w:num="1"/>
          <w:titlePg/>
          <w:docGrid w:type="lines" w:linePitch="312" w:charSpace="0"/>
        </w:sectPr>
      </w:pPr>
    </w:p>
    <w:p>
      <w:pPr>
        <w:rPr>
          <w:rFonts w:eastAsia="华文细黑"/>
        </w:rPr>
      </w:pPr>
    </w:p>
    <w:p>
      <w:pPr>
        <w:rPr>
          <w:rFonts w:eastAsia="华文细黑"/>
        </w:rPr>
      </w:pPr>
    </w:p>
    <w:p>
      <w:pPr>
        <w:rPr>
          <w:rFonts w:eastAsia="华文细黑"/>
        </w:rPr>
      </w:pPr>
    </w:p>
    <w:p>
      <w:pPr>
        <w:rPr>
          <w:rFonts w:eastAsia="华文细黑"/>
        </w:rPr>
      </w:pPr>
      <w:r>
        <w:rPr>
          <w:rFonts w:eastAsia="华文细黑"/>
          <w:b/>
        </w:rPr>
        <w:t>丙方</w:t>
      </w:r>
      <w:r>
        <w:rPr>
          <w:rFonts w:hint="eastAsia" w:eastAsia="华文细黑"/>
          <w:b/>
        </w:rPr>
        <w:t>（1）</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rPr>
      </w:pPr>
      <w:r>
        <w:rPr>
          <w:rFonts w:eastAsia="华文细黑"/>
          <w:b/>
        </w:rPr>
        <w:t>丙方</w:t>
      </w:r>
      <w:r>
        <w:rPr>
          <w:rFonts w:hint="eastAsia" w:eastAsia="华文细黑"/>
          <w:b/>
        </w:rPr>
        <w:t>（2）</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szCs w:val="24"/>
        </w:rPr>
      </w:pPr>
      <w:r>
        <w:rPr>
          <w:rFonts w:eastAsia="华文细黑"/>
          <w:b/>
        </w:rPr>
        <w:t>丙方</w:t>
      </w:r>
      <w:r>
        <w:rPr>
          <w:rFonts w:hint="eastAsia" w:eastAsia="华文细黑"/>
          <w:b/>
        </w:rPr>
        <w:t>（3）</w:t>
      </w:r>
      <w:r>
        <w:rPr>
          <w:rFonts w:eastAsia="华文细黑"/>
          <w:b/>
        </w:rPr>
        <w:t>：</w:t>
      </w:r>
      <w:r>
        <w:rPr>
          <w:rFonts w:eastAsia="华文细黑"/>
          <w:szCs w:val="24"/>
          <w:u w:val="single"/>
        </w:rPr>
        <w:t xml:space="preserve">                   </w:t>
      </w:r>
      <w:r>
        <w:rPr>
          <w:rFonts w:eastAsia="华文细黑"/>
          <w:szCs w:val="24"/>
        </w:rPr>
        <w:t>（签字）</w:t>
      </w:r>
    </w:p>
    <w:p>
      <w:pPr>
        <w:rPr>
          <w:rFonts w:eastAsia="华文细黑"/>
        </w:rPr>
      </w:pPr>
    </w:p>
    <w:p>
      <w:pPr>
        <w:rPr>
          <w:rFonts w:eastAsia="华文细黑"/>
          <w:b/>
        </w:rPr>
      </w:pPr>
      <w:r>
        <w:rPr>
          <w:rFonts w:eastAsia="华文细黑"/>
        </w:rPr>
        <w:br w:type="page"/>
      </w:r>
    </w:p>
    <w:p>
      <w:pPr>
        <w:rPr>
          <w:rFonts w:eastAsia="华文细黑"/>
          <w:b/>
        </w:rPr>
      </w:pPr>
      <w:r>
        <w:rPr>
          <w:rFonts w:hint="eastAsia" w:eastAsia="华文细黑"/>
          <w:b/>
        </w:rPr>
        <w:t>附件一：知识产权清单</w:t>
      </w: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p>
    <w:p>
      <w:pPr>
        <w:rPr>
          <w:rFonts w:eastAsia="华文细黑"/>
          <w:b/>
        </w:rPr>
      </w:pPr>
      <w:r>
        <w:rPr>
          <w:rFonts w:hint="eastAsia" w:eastAsia="华文细黑"/>
          <w:b/>
        </w:rPr>
        <w:t>附件二：核心管理人员名单</w:t>
      </w:r>
    </w:p>
    <w:p>
      <w:pPr>
        <w:rPr>
          <w:rFonts w:eastAsia="华文细黑"/>
          <w:b/>
        </w:rPr>
      </w:pPr>
    </w:p>
    <w:p>
      <w:pPr>
        <w:rPr>
          <w:rFonts w:eastAsia="华文细黑"/>
          <w:b/>
        </w:rPr>
      </w:pPr>
    </w:p>
    <w:p>
      <w:pPr>
        <w:numPr>
          <w:ilvl w:val="4"/>
          <w:numId w:val="2"/>
        </w:numPr>
        <w:rPr>
          <w:rFonts w:eastAsia="华文细黑"/>
        </w:rPr>
      </w:pPr>
      <w:r>
        <w:rPr>
          <w:rFonts w:hint="eastAsia" w:eastAsia="华文细黑"/>
        </w:rPr>
        <w:t xml:space="preserve">姓名：    职位：     身份证号码：  </w:t>
      </w:r>
    </w:p>
    <w:p>
      <w:pPr>
        <w:numPr>
          <w:ilvl w:val="4"/>
          <w:numId w:val="2"/>
        </w:numPr>
        <w:rPr>
          <w:rFonts w:eastAsia="华文细黑"/>
        </w:rPr>
      </w:pPr>
      <w:r>
        <w:rPr>
          <w:rFonts w:hint="eastAsia" w:eastAsia="华文细黑"/>
        </w:rPr>
        <w:t>姓名：    职位：     身份证号码：</w:t>
      </w:r>
    </w:p>
    <w:p>
      <w:pPr>
        <w:rPr>
          <w:rFonts w:eastAsia="华文细黑"/>
          <w:b/>
        </w:rPr>
      </w:pPr>
      <w:r>
        <w:rPr>
          <w:rFonts w:eastAsia="华文细黑"/>
        </w:rPr>
        <w:br w:type="page"/>
      </w:r>
      <w:r>
        <w:rPr>
          <w:rFonts w:hint="eastAsia" w:eastAsia="华文细黑"/>
          <w:b/>
        </w:rPr>
        <w:t>附件三：本次增资款使用计划书</w:t>
      </w:r>
    </w:p>
    <w:p>
      <w:pPr>
        <w:rPr>
          <w:rFonts w:eastAsia="华文细黑"/>
          <w:b/>
        </w:rPr>
      </w:pPr>
    </w:p>
    <w:p>
      <w:pPr>
        <w:rPr>
          <w:rFonts w:eastAsia="华文细黑"/>
          <w:b/>
        </w:rPr>
      </w:pPr>
    </w:p>
    <w:tbl>
      <w:tblPr>
        <w:tblStyle w:val="7"/>
        <w:tblW w:w="8676" w:type="dxa"/>
        <w:tblInd w:w="93" w:type="dxa"/>
        <w:tblLayout w:type="fixed"/>
        <w:tblCellMar>
          <w:top w:w="0" w:type="dxa"/>
          <w:left w:w="108" w:type="dxa"/>
          <w:bottom w:w="0" w:type="dxa"/>
          <w:right w:w="108" w:type="dxa"/>
        </w:tblCellMar>
      </w:tblPr>
      <w:tblGrid>
        <w:gridCol w:w="1182"/>
        <w:gridCol w:w="1021"/>
        <w:gridCol w:w="3987"/>
        <w:gridCol w:w="2486"/>
      </w:tblGrid>
      <w:tr>
        <w:tblPrEx>
          <w:tblCellMar>
            <w:top w:w="0" w:type="dxa"/>
            <w:left w:w="108" w:type="dxa"/>
            <w:bottom w:w="0" w:type="dxa"/>
            <w:right w:w="108" w:type="dxa"/>
          </w:tblCellMar>
        </w:tblPrEx>
        <w:trPr>
          <w:trHeight w:val="399" w:hRule="atLeast"/>
        </w:trPr>
        <w:tc>
          <w:tcPr>
            <w:tcW w:w="11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时间</w:t>
            </w:r>
          </w:p>
        </w:tc>
        <w:tc>
          <w:tcPr>
            <w:tcW w:w="102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资金投入</w:t>
            </w:r>
          </w:p>
        </w:tc>
        <w:tc>
          <w:tcPr>
            <w:tcW w:w="39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工作目标</w:t>
            </w:r>
          </w:p>
        </w:tc>
        <w:tc>
          <w:tcPr>
            <w:tcW w:w="24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华文细黑"/>
                <w:b/>
                <w:bCs/>
                <w:color w:val="000000"/>
                <w:kern w:val="0"/>
                <w:sz w:val="22"/>
                <w:szCs w:val="22"/>
              </w:rPr>
            </w:pPr>
            <w:r>
              <w:rPr>
                <w:rFonts w:hAnsi="华文细黑" w:eastAsia="华文细黑"/>
                <w:b/>
                <w:bCs/>
                <w:color w:val="000000"/>
                <w:kern w:val="0"/>
                <w:sz w:val="22"/>
                <w:szCs w:val="22"/>
              </w:rPr>
              <w:t>预计效果</w:t>
            </w:r>
          </w:p>
        </w:tc>
      </w:tr>
      <w:tr>
        <w:tblPrEx>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102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102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r>
        <w:tblPrEx>
          <w:tblCellMar>
            <w:top w:w="0" w:type="dxa"/>
            <w:left w:w="108" w:type="dxa"/>
            <w:bottom w:w="0" w:type="dxa"/>
            <w:right w:w="108" w:type="dxa"/>
          </w:tblCellMar>
        </w:tblPrEx>
        <w:trPr>
          <w:trHeight w:val="793" w:hRule="atLeast"/>
        </w:trPr>
        <w:tc>
          <w:tcPr>
            <w:tcW w:w="118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华文细黑"/>
                <w:color w:val="000000"/>
                <w:kern w:val="0"/>
                <w:sz w:val="22"/>
                <w:szCs w:val="22"/>
              </w:rPr>
            </w:pPr>
          </w:p>
        </w:tc>
        <w:tc>
          <w:tcPr>
            <w:tcW w:w="1021" w:type="dxa"/>
            <w:vMerge w:val="continue"/>
            <w:tcBorders>
              <w:top w:val="nil"/>
              <w:left w:val="single" w:color="auto" w:sz="4" w:space="0"/>
              <w:bottom w:val="single" w:color="000000" w:sz="4" w:space="0"/>
              <w:right w:val="single" w:color="auto" w:sz="4" w:space="0"/>
            </w:tcBorders>
            <w:vAlign w:val="center"/>
          </w:tcPr>
          <w:p>
            <w:pPr>
              <w:widowControl/>
              <w:jc w:val="left"/>
              <w:rPr>
                <w:rFonts w:eastAsia="华文细黑"/>
                <w:color w:val="000000"/>
                <w:kern w:val="0"/>
                <w:sz w:val="22"/>
                <w:szCs w:val="22"/>
              </w:rPr>
            </w:pPr>
          </w:p>
        </w:tc>
        <w:tc>
          <w:tcPr>
            <w:tcW w:w="3987"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c>
          <w:tcPr>
            <w:tcW w:w="2486" w:type="dxa"/>
            <w:tcBorders>
              <w:top w:val="nil"/>
              <w:left w:val="nil"/>
              <w:bottom w:val="single" w:color="auto" w:sz="4" w:space="0"/>
              <w:right w:val="single" w:color="auto" w:sz="4" w:space="0"/>
            </w:tcBorders>
            <w:shd w:val="clear" w:color="auto" w:fill="auto"/>
            <w:vAlign w:val="center"/>
          </w:tcPr>
          <w:p>
            <w:pPr>
              <w:widowControl/>
              <w:jc w:val="center"/>
              <w:rPr>
                <w:rFonts w:eastAsia="华文细黑"/>
                <w:color w:val="000000"/>
                <w:kern w:val="0"/>
                <w:sz w:val="22"/>
                <w:szCs w:val="22"/>
              </w:rPr>
            </w:pPr>
          </w:p>
        </w:tc>
      </w:tr>
    </w:tbl>
    <w:p>
      <w:pPr>
        <w:rPr>
          <w:rFonts w:eastAsia="华文细黑"/>
          <w:b/>
        </w:rPr>
      </w:pPr>
    </w:p>
    <w:p>
      <w:pPr>
        <w:rPr>
          <w:b/>
        </w:rPr>
      </w:pPr>
    </w:p>
    <w:sectPr>
      <w:headerReference r:id="rId11" w:type="first"/>
      <w:headerReference r:id="rId9" w:type="default"/>
      <w:footerReference r:id="rId12" w:type="default"/>
      <w:headerReference r:id="rId10" w:type="even"/>
      <w:type w:val="continuous"/>
      <w:pgSz w:w="11906" w:h="16838"/>
      <w:pgMar w:top="1383"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UniversalMath1 B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DengXian">
    <w:altName w:val="AMGDT"/>
    <w:panose1 w:val="00000000000000000000"/>
    <w:charset w:val="86"/>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DengXian">
    <w:altName w:val="AMGDT"/>
    <w:panose1 w:val="00000000000000000000"/>
    <w:charset w:val="00"/>
    <w:family w:val="auto"/>
    <w:pitch w:val="default"/>
    <w:sig w:usb0="00000000" w:usb1="00000000" w:usb2="00000000" w:usb3="00000000" w:csb0="00000000" w:csb1="00000000"/>
  </w:font>
  <w:font w:name="DengXian Light">
    <w:altName w:val="AMGDT"/>
    <w:panose1 w:val="00000000000000000000"/>
    <w:charset w:val="00"/>
    <w:family w:val="auto"/>
    <w:pitch w:val="default"/>
    <w:sig w:usb0="00000000" w:usb1="00000000" w:usb2="00000000" w:usb3="00000000" w:csb0="00000000" w:csb1="00000000"/>
  </w:font>
  <w:font w:name="楷体_GB2312">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16</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1" o:spid="_x0000_s2049" o:spt="136" type="#_x0000_t136" style="position:absolute;left:0pt;height:138.5pt;width:415.55pt;mso-position-horizontal:center;mso-position-horizontal-relative:margin;mso-position-vertical:center;mso-position-vertical-relative:margin;z-index:-251657216;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2" o:spid="_x0000_s2050" o:spt="136" type="#_x0000_t136" style="position:absolute;left:0pt;height:138.5pt;width:415.55pt;mso-position-horizontal:center;mso-position-horizontal-relative:margin;mso-position-vertical:center;mso-position-vertical-relative:margin;z-index:-251656192;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3" o:spid="_x0000_s2051" o:spt="136" type="#_x0000_t136" style="position:absolute;left:0pt;height:138.5pt;width:415.55pt;mso-position-horizontal:center;mso-position-horizontal-relative:margin;mso-position-vertical:center;mso-position-vertical-relative:margin;z-index:-251655168;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4" o:spid="_x0000_s2052" o:spt="136" type="#_x0000_t136" style="position:absolute;left:0pt;height:138.5pt;width:415.55pt;mso-position-horizontal:center;mso-position-horizontal-relative:margin;mso-position-vertical:center;mso-position-vertical-relative:margin;z-index:-251654144;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5" o:spid="_x0000_s2053" o:spt="136" type="#_x0000_t136" style="position:absolute;left:0pt;height:138.5pt;width:415.55pt;mso-position-horizontal:center;mso-position-horizontal-relative:margin;mso-position-vertical:center;mso-position-vertical-relative:margin;z-index:-251653120;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 o:spid="_x0000_s2054" o:spt="136" type="#_x0000_t136" style="position:absolute;left:0pt;height:138.5pt;width:415.55pt;mso-position-horizontal:center;mso-position-horizontal-relative:margin;mso-position-vertical:center;mso-position-vertical-relative:margin;z-index:-251652096;mso-width-relative:page;mso-height-relative:page;" fillcolor="#C0C0C0" filled="t" stroked="f" coordsize="21600,21600">
          <v:path/>
          <v:fill on="t" focussize="0,0"/>
          <v:stroke on="f"/>
          <v:imagedata o:title=""/>
          <o:lock v:ext="edit"/>
          <v:textpath on="t" fitpath="t" trim="f" xscale="f" string="法务VC" style="font-family:宋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3AB"/>
    <w:multiLevelType w:val="multilevel"/>
    <w:tmpl w:val="019F53AB"/>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
    <w:nsid w:val="03B86359"/>
    <w:multiLevelType w:val="multilevel"/>
    <w:tmpl w:val="03B86359"/>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2">
    <w:nsid w:val="10A127E2"/>
    <w:multiLevelType w:val="multilevel"/>
    <w:tmpl w:val="10A127E2"/>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3">
    <w:nsid w:val="1A7524EE"/>
    <w:multiLevelType w:val="multilevel"/>
    <w:tmpl w:val="1A7524EE"/>
    <w:lvl w:ilvl="0" w:tentative="0">
      <w:start w:val="1"/>
      <w:numFmt w:val="decimal"/>
      <w:lvlText w:val="（%1）"/>
      <w:lvlJc w:val="left"/>
      <w:pPr>
        <w:tabs>
          <w:tab w:val="left" w:pos="1620"/>
        </w:tabs>
        <w:ind w:left="1620" w:hanging="720"/>
      </w:pPr>
      <w:rPr>
        <w:rFonts w:hint="default" w:ascii="Times New Roman" w:hAnsi="Times New Roman" w:cs="Times New Roman"/>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F82A38"/>
    <w:multiLevelType w:val="multilevel"/>
    <w:tmpl w:val="26F82A38"/>
    <w:lvl w:ilvl="0" w:tentative="0">
      <w:start w:val="1"/>
      <w:numFmt w:val="decimal"/>
      <w:lvlText w:val="（%1）"/>
      <w:lvlJc w:val="left"/>
      <w:pPr>
        <w:ind w:left="1855" w:hanging="720"/>
      </w:pPr>
      <w:rPr>
        <w:rFonts w:hint="default" w:ascii="Times New Roman" w:hAnsi="Times New Roman" w:eastAsia="华文细黑" w:cs="Times New Roman"/>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5">
    <w:nsid w:val="296B26AC"/>
    <w:multiLevelType w:val="multilevel"/>
    <w:tmpl w:val="296B26AC"/>
    <w:lvl w:ilvl="0" w:tentative="0">
      <w:start w:val="1"/>
      <w:numFmt w:val="decimal"/>
      <w:lvlText w:val="%1）"/>
      <w:lvlJc w:val="left"/>
      <w:pPr>
        <w:ind w:left="2072" w:hanging="360"/>
      </w:pPr>
      <w:rPr>
        <w:rFonts w:hint="default"/>
      </w:rPr>
    </w:lvl>
    <w:lvl w:ilvl="1" w:tentative="0">
      <w:start w:val="1"/>
      <w:numFmt w:val="lowerLetter"/>
      <w:lvlText w:val="%2)"/>
      <w:lvlJc w:val="left"/>
      <w:pPr>
        <w:ind w:left="2552" w:hanging="420"/>
      </w:pPr>
    </w:lvl>
    <w:lvl w:ilvl="2" w:tentative="0">
      <w:start w:val="1"/>
      <w:numFmt w:val="lowerRoman"/>
      <w:lvlText w:val="%3."/>
      <w:lvlJc w:val="right"/>
      <w:pPr>
        <w:ind w:left="2972" w:hanging="420"/>
      </w:pPr>
    </w:lvl>
    <w:lvl w:ilvl="3" w:tentative="0">
      <w:start w:val="1"/>
      <w:numFmt w:val="decimal"/>
      <w:lvlText w:val="%4."/>
      <w:lvlJc w:val="left"/>
      <w:pPr>
        <w:ind w:left="3392" w:hanging="420"/>
      </w:pPr>
    </w:lvl>
    <w:lvl w:ilvl="4" w:tentative="0">
      <w:start w:val="1"/>
      <w:numFmt w:val="lowerLetter"/>
      <w:lvlText w:val="%5)"/>
      <w:lvlJc w:val="left"/>
      <w:pPr>
        <w:ind w:left="3812" w:hanging="420"/>
      </w:pPr>
    </w:lvl>
    <w:lvl w:ilvl="5" w:tentative="0">
      <w:start w:val="1"/>
      <w:numFmt w:val="lowerRoman"/>
      <w:lvlText w:val="%6."/>
      <w:lvlJc w:val="right"/>
      <w:pPr>
        <w:ind w:left="4232" w:hanging="420"/>
      </w:pPr>
    </w:lvl>
    <w:lvl w:ilvl="6" w:tentative="0">
      <w:start w:val="1"/>
      <w:numFmt w:val="decimal"/>
      <w:lvlText w:val="%7."/>
      <w:lvlJc w:val="left"/>
      <w:pPr>
        <w:ind w:left="4652" w:hanging="420"/>
      </w:pPr>
    </w:lvl>
    <w:lvl w:ilvl="7" w:tentative="0">
      <w:start w:val="1"/>
      <w:numFmt w:val="lowerLetter"/>
      <w:lvlText w:val="%8)"/>
      <w:lvlJc w:val="left"/>
      <w:pPr>
        <w:ind w:left="5072" w:hanging="420"/>
      </w:pPr>
    </w:lvl>
    <w:lvl w:ilvl="8" w:tentative="0">
      <w:start w:val="1"/>
      <w:numFmt w:val="lowerRoman"/>
      <w:lvlText w:val="%9."/>
      <w:lvlJc w:val="right"/>
      <w:pPr>
        <w:ind w:left="5492" w:hanging="420"/>
      </w:pPr>
    </w:lvl>
  </w:abstractNum>
  <w:abstractNum w:abstractNumId="6">
    <w:nsid w:val="2E1751BD"/>
    <w:multiLevelType w:val="multilevel"/>
    <w:tmpl w:val="2E1751BD"/>
    <w:lvl w:ilvl="0" w:tentative="0">
      <w:start w:val="1"/>
      <w:numFmt w:val="decimal"/>
      <w:lvlText w:val="（%1）"/>
      <w:lvlJc w:val="left"/>
      <w:pPr>
        <w:ind w:left="1855" w:hanging="720"/>
      </w:pPr>
      <w:rPr>
        <w:rFonts w:hint="default"/>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7">
    <w:nsid w:val="40C8004E"/>
    <w:multiLevelType w:val="multilevel"/>
    <w:tmpl w:val="40C8004E"/>
    <w:lvl w:ilvl="0" w:tentative="0">
      <w:start w:val="1"/>
      <w:numFmt w:val="decimal"/>
      <w:lvlText w:val="第%1条"/>
      <w:lvlJc w:val="left"/>
      <w:pPr>
        <w:tabs>
          <w:tab w:val="left" w:pos="425"/>
        </w:tabs>
        <w:ind w:left="425" w:hanging="425"/>
      </w:pPr>
      <w:rPr>
        <w:rFonts w:hint="default" w:ascii="Times New Roman" w:hAnsi="Times New Roman" w:cs="Times New Roman"/>
        <w:b/>
      </w:rPr>
    </w:lvl>
    <w:lvl w:ilvl="1" w:tentative="0">
      <w:start w:val="1"/>
      <w:numFmt w:val="decimal"/>
      <w:lvlText w:val="%1.%2"/>
      <w:lvlJc w:val="left"/>
      <w:pPr>
        <w:tabs>
          <w:tab w:val="left" w:pos="992"/>
        </w:tabs>
        <w:ind w:left="992" w:hanging="567"/>
      </w:pPr>
      <w:rPr>
        <w:rFonts w:hint="default" w:ascii="Times New Roman" w:hAnsi="Times New Roman" w:cs="Times New Roman"/>
        <w:b w:val="0"/>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8">
    <w:nsid w:val="46904E90"/>
    <w:multiLevelType w:val="multilevel"/>
    <w:tmpl w:val="46904E90"/>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9">
    <w:nsid w:val="48E42A04"/>
    <w:multiLevelType w:val="multilevel"/>
    <w:tmpl w:val="48E42A04"/>
    <w:lvl w:ilvl="0" w:tentative="0">
      <w:start w:val="1"/>
      <w:numFmt w:val="decimal"/>
      <w:lvlText w:val="%1）"/>
      <w:lvlJc w:val="right"/>
      <w:pPr>
        <w:tabs>
          <w:tab w:val="left" w:pos="2264"/>
        </w:tabs>
        <w:ind w:left="2264" w:hanging="420"/>
      </w:pPr>
      <w:rPr>
        <w:rFonts w:hint="default" w:ascii="Times New Roman" w:hAnsi="Times New Roman" w:eastAsia="华文细黑"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B373C55"/>
    <w:multiLevelType w:val="multilevel"/>
    <w:tmpl w:val="4B373C55"/>
    <w:lvl w:ilvl="0" w:tentative="0">
      <w:start w:val="1"/>
      <w:numFmt w:val="decimal"/>
      <w:lvlText w:val="（%1）"/>
      <w:lvlJc w:val="left"/>
      <w:pPr>
        <w:ind w:left="1712" w:hanging="720"/>
      </w:pPr>
      <w:rPr>
        <w:rFonts w:hint="default" w:ascii="Times New Roman" w:hAnsi="Times New Roman" w:eastAsia="华文细黑" w:cs="Times New Roman"/>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1">
    <w:nsid w:val="4EF14BB5"/>
    <w:multiLevelType w:val="multilevel"/>
    <w:tmpl w:val="4EF14BB5"/>
    <w:lvl w:ilvl="0" w:tentative="0">
      <w:start w:val="1"/>
      <w:numFmt w:val="decimal"/>
      <w:lvlText w:val="%1."/>
      <w:lvlJc w:val="left"/>
      <w:pPr>
        <w:tabs>
          <w:tab w:val="left" w:pos="1320"/>
        </w:tabs>
        <w:ind w:left="1320" w:hanging="840"/>
      </w:pPr>
      <w:rPr>
        <w:rFonts w:hint="default"/>
      </w:rPr>
    </w:lvl>
    <w:lvl w:ilvl="1" w:tentative="0">
      <w:start w:val="1"/>
      <w:numFmt w:val="decimal"/>
      <w:lvlText w:val="（%2）"/>
      <w:lvlJc w:val="left"/>
      <w:pPr>
        <w:tabs>
          <w:tab w:val="left" w:pos="1620"/>
        </w:tabs>
        <w:ind w:left="1620" w:hanging="720"/>
      </w:pPr>
      <w:rPr>
        <w:rFonts w:hint="default" w:ascii="Times New Roman" w:hAnsi="Times New Roman" w:cs="Times New Roman"/>
        <w:b w:val="0"/>
      </w:rPr>
    </w:lvl>
    <w:lvl w:ilvl="2" w:tentative="0">
      <w:start w:val="1"/>
      <w:numFmt w:val="decimal"/>
      <w:lvlText w:val="%3）"/>
      <w:lvlJc w:val="right"/>
      <w:pPr>
        <w:tabs>
          <w:tab w:val="left" w:pos="1838"/>
        </w:tabs>
        <w:ind w:left="1838" w:hanging="420"/>
      </w:pPr>
      <w:rPr>
        <w:rFonts w:hint="default" w:ascii="Times New Roman" w:hAnsi="Times New Roman" w:eastAsia="华文细黑" w:cs="Times New Roman"/>
      </w:rPr>
    </w:lvl>
    <w:lvl w:ilvl="3" w:tentative="0">
      <w:start w:val="1"/>
      <w:numFmt w:val="decimal"/>
      <w:lvlText w:val="%4）"/>
      <w:lvlJc w:val="left"/>
      <w:pPr>
        <w:ind w:left="2062" w:hanging="360"/>
      </w:pPr>
      <w:rPr>
        <w:rFonts w:hint="default"/>
      </w:rPr>
    </w:lvl>
    <w:lvl w:ilvl="4" w:tentative="0">
      <w:start w:val="1"/>
      <w:numFmt w:val="decimal"/>
      <w:lvlText w:val="%5、"/>
      <w:lvlJc w:val="left"/>
      <w:pPr>
        <w:ind w:left="360" w:hanging="360"/>
      </w:pPr>
      <w:rPr>
        <w:rFonts w:hint="default"/>
      </w:r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53867856"/>
    <w:multiLevelType w:val="multilevel"/>
    <w:tmpl w:val="53867856"/>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3">
    <w:nsid w:val="5C630BB0"/>
    <w:multiLevelType w:val="multilevel"/>
    <w:tmpl w:val="5C630BB0"/>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4">
    <w:nsid w:val="5C9A42AD"/>
    <w:multiLevelType w:val="multilevel"/>
    <w:tmpl w:val="5C9A42AD"/>
    <w:lvl w:ilvl="0" w:tentative="0">
      <w:start w:val="1"/>
      <w:numFmt w:val="decimal"/>
      <w:lvlText w:val="(%1)"/>
      <w:lvlJc w:val="left"/>
      <w:pPr>
        <w:ind w:left="818" w:hanging="360"/>
      </w:pPr>
      <w:rPr>
        <w:rFonts w:hint="default"/>
        <w:b/>
      </w:rPr>
    </w:lvl>
    <w:lvl w:ilvl="1" w:tentative="0">
      <w:start w:val="1"/>
      <w:numFmt w:val="lowerLetter"/>
      <w:lvlText w:val="%2)"/>
      <w:lvlJc w:val="left"/>
      <w:pPr>
        <w:ind w:left="1298" w:hanging="420"/>
      </w:pPr>
    </w:lvl>
    <w:lvl w:ilvl="2" w:tentative="0">
      <w:start w:val="1"/>
      <w:numFmt w:val="lowerRoman"/>
      <w:lvlText w:val="%3."/>
      <w:lvlJc w:val="right"/>
      <w:pPr>
        <w:ind w:left="1718" w:hanging="420"/>
      </w:pPr>
    </w:lvl>
    <w:lvl w:ilvl="3" w:tentative="0">
      <w:start w:val="1"/>
      <w:numFmt w:val="decimal"/>
      <w:lvlText w:val="%4."/>
      <w:lvlJc w:val="left"/>
      <w:pPr>
        <w:ind w:left="2138" w:hanging="420"/>
      </w:pPr>
    </w:lvl>
    <w:lvl w:ilvl="4" w:tentative="0">
      <w:start w:val="1"/>
      <w:numFmt w:val="lowerLetter"/>
      <w:lvlText w:val="%5)"/>
      <w:lvlJc w:val="left"/>
      <w:pPr>
        <w:ind w:left="2558" w:hanging="420"/>
      </w:pPr>
    </w:lvl>
    <w:lvl w:ilvl="5" w:tentative="0">
      <w:start w:val="1"/>
      <w:numFmt w:val="lowerRoman"/>
      <w:lvlText w:val="%6."/>
      <w:lvlJc w:val="right"/>
      <w:pPr>
        <w:ind w:left="2978" w:hanging="420"/>
      </w:pPr>
    </w:lvl>
    <w:lvl w:ilvl="6" w:tentative="0">
      <w:start w:val="1"/>
      <w:numFmt w:val="decimal"/>
      <w:lvlText w:val="%7."/>
      <w:lvlJc w:val="left"/>
      <w:pPr>
        <w:ind w:left="3398" w:hanging="420"/>
      </w:pPr>
    </w:lvl>
    <w:lvl w:ilvl="7" w:tentative="0">
      <w:start w:val="1"/>
      <w:numFmt w:val="lowerLetter"/>
      <w:lvlText w:val="%8)"/>
      <w:lvlJc w:val="left"/>
      <w:pPr>
        <w:ind w:left="3818" w:hanging="420"/>
      </w:pPr>
    </w:lvl>
    <w:lvl w:ilvl="8" w:tentative="0">
      <w:start w:val="1"/>
      <w:numFmt w:val="lowerRoman"/>
      <w:lvlText w:val="%9."/>
      <w:lvlJc w:val="right"/>
      <w:pPr>
        <w:ind w:left="4238" w:hanging="420"/>
      </w:pPr>
    </w:lvl>
  </w:abstractNum>
  <w:abstractNum w:abstractNumId="15">
    <w:nsid w:val="5D4C6ABB"/>
    <w:multiLevelType w:val="multilevel"/>
    <w:tmpl w:val="5D4C6ABB"/>
    <w:lvl w:ilvl="0" w:tentative="0">
      <w:start w:val="1"/>
      <w:numFmt w:val="decimal"/>
      <w:lvlText w:val="%1）"/>
      <w:lvlJc w:val="right"/>
      <w:pPr>
        <w:tabs>
          <w:tab w:val="left" w:pos="2263"/>
        </w:tabs>
        <w:ind w:left="2263" w:hanging="420"/>
      </w:pPr>
      <w:rPr>
        <w:rFonts w:hint="default" w:ascii="Times New Roman" w:hAnsi="Times New Roman" w:eastAsia="华文细黑"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0BC46D0"/>
    <w:multiLevelType w:val="multilevel"/>
    <w:tmpl w:val="60BC46D0"/>
    <w:lvl w:ilvl="0" w:tentative="0">
      <w:start w:val="1"/>
      <w:numFmt w:val="decimal"/>
      <w:lvlText w:val="（%1）"/>
      <w:lvlJc w:val="left"/>
      <w:pPr>
        <w:ind w:left="1855" w:hanging="720"/>
      </w:pPr>
      <w:rPr>
        <w:rFonts w:hint="default"/>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abstractNum w:abstractNumId="17">
    <w:nsid w:val="683A522A"/>
    <w:multiLevelType w:val="multilevel"/>
    <w:tmpl w:val="683A522A"/>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8">
    <w:nsid w:val="6D3D01D8"/>
    <w:multiLevelType w:val="multilevel"/>
    <w:tmpl w:val="6D3D01D8"/>
    <w:lvl w:ilvl="0" w:tentative="0">
      <w:start w:val="1"/>
      <w:numFmt w:val="decimal"/>
      <w:lvlText w:val="（%1）"/>
      <w:lvlJc w:val="left"/>
      <w:pPr>
        <w:ind w:left="1712" w:hanging="720"/>
      </w:pPr>
      <w:rPr>
        <w:rFonts w:hint="default"/>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19">
    <w:nsid w:val="73DA46F1"/>
    <w:multiLevelType w:val="multilevel"/>
    <w:tmpl w:val="73DA46F1"/>
    <w:lvl w:ilvl="0" w:tentative="0">
      <w:start w:val="1"/>
      <w:numFmt w:val="decimal"/>
      <w:lvlText w:val="（%1）"/>
      <w:lvlJc w:val="left"/>
      <w:pPr>
        <w:ind w:left="1997" w:hanging="720"/>
      </w:pPr>
      <w:rPr>
        <w:rFonts w:hint="default" w:ascii="Times New Roman" w:hAnsi="Times New Roman" w:eastAsia="华文细黑" w:cs="Times New Roman"/>
      </w:rPr>
    </w:lvl>
    <w:lvl w:ilvl="1" w:tentative="0">
      <w:start w:val="1"/>
      <w:numFmt w:val="lowerLetter"/>
      <w:lvlText w:val="%2)"/>
      <w:lvlJc w:val="left"/>
      <w:pPr>
        <w:ind w:left="1975" w:hanging="420"/>
      </w:pPr>
    </w:lvl>
    <w:lvl w:ilvl="2" w:tentative="0">
      <w:start w:val="1"/>
      <w:numFmt w:val="lowerRoman"/>
      <w:lvlText w:val="%3."/>
      <w:lvlJc w:val="right"/>
      <w:pPr>
        <w:ind w:left="2395" w:hanging="420"/>
      </w:pPr>
    </w:lvl>
    <w:lvl w:ilvl="3" w:tentative="0">
      <w:start w:val="1"/>
      <w:numFmt w:val="decimal"/>
      <w:lvlText w:val="%4."/>
      <w:lvlJc w:val="left"/>
      <w:pPr>
        <w:ind w:left="2815" w:hanging="420"/>
      </w:pPr>
    </w:lvl>
    <w:lvl w:ilvl="4" w:tentative="0">
      <w:start w:val="1"/>
      <w:numFmt w:val="lowerLetter"/>
      <w:lvlText w:val="%5)"/>
      <w:lvlJc w:val="left"/>
      <w:pPr>
        <w:ind w:left="3235" w:hanging="420"/>
      </w:pPr>
    </w:lvl>
    <w:lvl w:ilvl="5" w:tentative="0">
      <w:start w:val="1"/>
      <w:numFmt w:val="lowerRoman"/>
      <w:lvlText w:val="%6."/>
      <w:lvlJc w:val="right"/>
      <w:pPr>
        <w:ind w:left="3655" w:hanging="420"/>
      </w:pPr>
    </w:lvl>
    <w:lvl w:ilvl="6" w:tentative="0">
      <w:start w:val="1"/>
      <w:numFmt w:val="decimal"/>
      <w:lvlText w:val="%7."/>
      <w:lvlJc w:val="left"/>
      <w:pPr>
        <w:ind w:left="4075" w:hanging="420"/>
      </w:pPr>
    </w:lvl>
    <w:lvl w:ilvl="7" w:tentative="0">
      <w:start w:val="1"/>
      <w:numFmt w:val="lowerLetter"/>
      <w:lvlText w:val="%8)"/>
      <w:lvlJc w:val="left"/>
      <w:pPr>
        <w:ind w:left="4495" w:hanging="420"/>
      </w:pPr>
    </w:lvl>
    <w:lvl w:ilvl="8" w:tentative="0">
      <w:start w:val="1"/>
      <w:numFmt w:val="lowerRoman"/>
      <w:lvlText w:val="%9."/>
      <w:lvlJc w:val="right"/>
      <w:pPr>
        <w:ind w:left="4915" w:hanging="420"/>
      </w:pPr>
    </w:lvl>
  </w:abstractNum>
  <w:num w:numId="1">
    <w:abstractNumId w:val="14"/>
  </w:num>
  <w:num w:numId="2">
    <w:abstractNumId w:val="11"/>
  </w:num>
  <w:num w:numId="3">
    <w:abstractNumId w:val="7"/>
  </w:num>
  <w:num w:numId="4">
    <w:abstractNumId w:val="1"/>
  </w:num>
  <w:num w:numId="5">
    <w:abstractNumId w:val="12"/>
  </w:num>
  <w:num w:numId="6">
    <w:abstractNumId w:val="15"/>
  </w:num>
  <w:num w:numId="7">
    <w:abstractNumId w:val="13"/>
  </w:num>
  <w:num w:numId="8">
    <w:abstractNumId w:val="0"/>
  </w:num>
  <w:num w:numId="9">
    <w:abstractNumId w:val="9"/>
  </w:num>
  <w:num w:numId="10">
    <w:abstractNumId w:val="18"/>
  </w:num>
  <w:num w:numId="11">
    <w:abstractNumId w:val="2"/>
  </w:num>
  <w:num w:numId="12">
    <w:abstractNumId w:val="5"/>
  </w:num>
  <w:num w:numId="13">
    <w:abstractNumId w:val="3"/>
  </w:num>
  <w:num w:numId="14">
    <w:abstractNumId w:val="8"/>
  </w:num>
  <w:num w:numId="15">
    <w:abstractNumId w:val="10"/>
  </w:num>
  <w:num w:numId="16">
    <w:abstractNumId w:val="19"/>
  </w:num>
  <w:num w:numId="17">
    <w:abstractNumId w:val="4"/>
  </w:num>
  <w:num w:numId="18">
    <w:abstractNumId w:val="16"/>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A7"/>
    <w:rsid w:val="00177F5D"/>
    <w:rsid w:val="00204937"/>
    <w:rsid w:val="002812B7"/>
    <w:rsid w:val="002F75A7"/>
    <w:rsid w:val="00325BB6"/>
    <w:rsid w:val="00396349"/>
    <w:rsid w:val="003D78BD"/>
    <w:rsid w:val="007C2D24"/>
    <w:rsid w:val="00C0419D"/>
    <w:rsid w:val="00DB7905"/>
    <w:rsid w:val="00ED65B4"/>
    <w:rsid w:val="00F60500"/>
    <w:rsid w:val="22392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paragraph" w:styleId="2">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rPr>
  </w:style>
  <w:style w:type="paragraph" w:styleId="4">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tabs>
        <w:tab w:val="left" w:pos="1140"/>
        <w:tab w:val="right" w:leader="dot" w:pos="8302"/>
      </w:tabs>
      <w:spacing w:after="100" w:afterAutospacing="1"/>
    </w:pPr>
    <w:rPr>
      <w:rFonts w:eastAsia="楷体_GB2312"/>
      <w:szCs w:val="24"/>
    </w:rPr>
  </w:style>
  <w:style w:type="paragraph" w:styleId="6">
    <w:name w:val="toc 2"/>
    <w:basedOn w:val="1"/>
    <w:next w:val="1"/>
    <w:uiPriority w:val="39"/>
    <w:pPr>
      <w:ind w:left="420" w:leftChars="200"/>
    </w:pPr>
  </w:style>
  <w:style w:type="character" w:styleId="9">
    <w:name w:val="page number"/>
    <w:basedOn w:val="8"/>
    <w:uiPriority w:val="0"/>
  </w:style>
  <w:style w:type="character" w:styleId="10">
    <w:name w:val="Hyperlink"/>
    <w:uiPriority w:val="99"/>
    <w:rPr>
      <w:color w:val="0000FF"/>
      <w:u w:val="single"/>
    </w:rPr>
  </w:style>
  <w:style w:type="character" w:customStyle="1" w:styleId="11">
    <w:name w:val="标题 2 字符"/>
    <w:basedOn w:val="8"/>
    <w:link w:val="2"/>
    <w:qFormat/>
    <w:uiPriority w:val="0"/>
    <w:rPr>
      <w:rFonts w:asciiTheme="majorHAnsi" w:hAnsiTheme="majorHAnsi" w:eastAsiaTheme="majorEastAsia" w:cstheme="majorBidi"/>
      <w:b/>
      <w:bCs/>
      <w:sz w:val="32"/>
      <w:szCs w:val="32"/>
    </w:rPr>
  </w:style>
  <w:style w:type="character" w:customStyle="1" w:styleId="12">
    <w:name w:val="页脚 字符"/>
    <w:basedOn w:val="8"/>
    <w:link w:val="3"/>
    <w:uiPriority w:val="0"/>
    <w:rPr>
      <w:rFonts w:ascii="Times New Roman" w:hAnsi="Times New Roman" w:eastAsia="宋体" w:cs="Times New Roman"/>
      <w:sz w:val="18"/>
      <w:szCs w:val="20"/>
    </w:rPr>
  </w:style>
  <w:style w:type="paragraph" w:customStyle="1" w:styleId="13">
    <w:name w:val="Center Single"/>
    <w:basedOn w:val="1"/>
    <w:uiPriority w:val="0"/>
    <w:pPr>
      <w:autoSpaceDE w:val="0"/>
      <w:autoSpaceDN w:val="0"/>
      <w:adjustRightInd w:val="0"/>
      <w:spacing w:before="240" w:after="240" w:line="380" w:lineRule="exact"/>
      <w:jc w:val="center"/>
    </w:pPr>
    <w:rPr>
      <w:rFonts w:eastAsia="华文楷体"/>
      <w:sz w:val="28"/>
      <w:szCs w:val="28"/>
    </w:rPr>
  </w:style>
  <w:style w:type="paragraph" w:customStyle="1" w:styleId="14">
    <w:name w:val="Center"/>
    <w:basedOn w:val="1"/>
    <w:uiPriority w:val="0"/>
    <w:pPr>
      <w:autoSpaceDE w:val="0"/>
      <w:autoSpaceDN w:val="0"/>
      <w:adjustRightInd w:val="0"/>
      <w:spacing w:after="240" w:line="380" w:lineRule="exact"/>
      <w:jc w:val="center"/>
    </w:pPr>
    <w:rPr>
      <w:rFonts w:eastAsia="华文楷体"/>
      <w:sz w:val="28"/>
      <w:szCs w:val="28"/>
    </w:rPr>
  </w:style>
  <w:style w:type="paragraph" w:styleId="15">
    <w:name w:val="List Paragraph"/>
    <w:basedOn w:val="1"/>
    <w:qFormat/>
    <w:uiPriority w:val="34"/>
    <w:pPr>
      <w:ind w:firstLine="420" w:firstLineChars="200"/>
    </w:pPr>
  </w:style>
  <w:style w:type="character" w:customStyle="1" w:styleId="16">
    <w:name w:val="页眉 字符"/>
    <w:basedOn w:val="8"/>
    <w:link w:val="4"/>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8938</Words>
  <Characters>9009</Characters>
  <Lines>72</Lines>
  <Paragraphs>20</Paragraphs>
  <TotalTime>4</TotalTime>
  <ScaleCrop>false</ScaleCrop>
  <LinksUpToDate>false</LinksUpToDate>
  <CharactersWithSpaces>9449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2016-01-01T09:23:00Z</dcterms:created>
  <dc:creator>刘丹</dc:creator>
  <cp:lastModifiedBy>¨  南山</cp:lastModifiedBy>
  <dcterms:modified xsi:type="dcterms:W3CDTF">2022-04-19T10:50:28Z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BEE47C75C02B47A7968EC26839B0C710</vt:lpwstr>
  </property>
</Properties>
</file>