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bCs/>
          <w:color w:val="565656"/>
          <w:kern w:val="36"/>
          <w:sz w:val="24"/>
          <w:szCs w:val="24"/>
        </w:rPr>
      </w:pPr>
    </w:p>
    <w:p>
      <w:pPr>
        <w:jc w:val="center"/>
        <w:rPr>
          <w:rFonts w:ascii="Times New Roman" w:hAnsi="Times New Roman"/>
          <w:b/>
          <w:kern w:val="36"/>
          <w:sz w:val="28"/>
          <w:szCs w:val="28"/>
        </w:rPr>
      </w:pPr>
      <w:r>
        <w:rPr>
          <w:rFonts w:ascii="Times New Roman" w:hAnsi="宋体"/>
          <w:b/>
          <w:kern w:val="36"/>
          <w:sz w:val="28"/>
          <w:szCs w:val="28"/>
        </w:rPr>
        <w:t>关于</w:t>
      </w:r>
    </w:p>
    <w:p>
      <w:pPr>
        <w:jc w:val="center"/>
        <w:rPr>
          <w:rFonts w:ascii="Times New Roman" w:hAnsi="Times New Roman"/>
          <w:b/>
          <w:kern w:val="36"/>
          <w:sz w:val="28"/>
          <w:szCs w:val="28"/>
        </w:rPr>
      </w:pPr>
      <w:bookmarkStart w:id="0" w:name="OLE_LINK28"/>
      <w:bookmarkStart w:id="1" w:name="OLE_LINK27"/>
      <w:r>
        <w:rPr>
          <w:rFonts w:hint="eastAsia" w:ascii="Times New Roman" w:hAnsi="Times New Roman"/>
          <w:b/>
          <w:kern w:val="36"/>
          <w:sz w:val="28"/>
          <w:szCs w:val="28"/>
        </w:rPr>
        <w:t>[XXX]科技</w:t>
      </w:r>
      <w:r>
        <w:rPr>
          <w:rFonts w:ascii="Times New Roman" w:hAnsi="宋体"/>
          <w:b/>
          <w:kern w:val="36"/>
          <w:sz w:val="28"/>
          <w:szCs w:val="28"/>
        </w:rPr>
        <w:t>有限公司</w:t>
      </w:r>
      <w:bookmarkEnd w:id="0"/>
      <w:bookmarkEnd w:id="1"/>
    </w:p>
    <w:p>
      <w:pPr>
        <w:jc w:val="center"/>
        <w:rPr>
          <w:rFonts w:ascii="Times New Roman" w:hAnsi="Times New Roman"/>
          <w:b/>
          <w:kern w:val="36"/>
          <w:sz w:val="28"/>
          <w:szCs w:val="28"/>
        </w:rPr>
      </w:pPr>
      <w:r>
        <w:rPr>
          <w:rFonts w:ascii="Times New Roman" w:hAnsi="宋体"/>
          <w:b/>
          <w:kern w:val="36"/>
          <w:sz w:val="28"/>
          <w:szCs w:val="28"/>
        </w:rPr>
        <w:t>之</w:t>
      </w:r>
    </w:p>
    <w:p>
      <w:pPr>
        <w:jc w:val="center"/>
        <w:rPr>
          <w:rFonts w:ascii="Times New Roman" w:hAnsi="Times New Roman"/>
          <w:b/>
          <w:kern w:val="36"/>
          <w:sz w:val="28"/>
          <w:szCs w:val="28"/>
        </w:rPr>
      </w:pPr>
      <w:r>
        <w:rPr>
          <w:rFonts w:ascii="Times New Roman" w:hAnsi="宋体"/>
          <w:b/>
          <w:kern w:val="36"/>
          <w:sz w:val="28"/>
          <w:szCs w:val="28"/>
        </w:rPr>
        <w:t>增资协议</w:t>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r>
        <w:rPr>
          <w:rFonts w:ascii="Times New Roman" w:hAnsi="Times New Roman"/>
          <w:b/>
          <w:color w:val="565656"/>
          <w:kern w:val="36"/>
          <w:sz w:val="28"/>
          <w:szCs w:val="28"/>
        </w:rPr>
        <w:pict>
          <v:shape id="Straight Connector 3" o:spid="_x0000_s1028" o:spt="32" type="#_x0000_t32" style="position:absolute;left:0pt;margin-left:-9.3pt;margin-top:28.75pt;height:0.05pt;width:414.4pt;z-index:251659264;mso-width-relative:page;mso-height-relative:page;" o:connectortype="straight" filled="f" o:preferrelative="t" coordsize="21600,21600">
            <v:path arrowok="t"/>
            <v:fill on="f" focussize="0,0"/>
            <v:stroke miterlimit="2"/>
            <v:imagedata o:title=""/>
            <o:lock v:ext="edit"/>
          </v:shape>
        </w:pict>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宋体"/>
          <w:b/>
          <w:kern w:val="36"/>
          <w:sz w:val="28"/>
          <w:szCs w:val="28"/>
        </w:rPr>
      </w:pPr>
      <w:r>
        <w:rPr>
          <w:rFonts w:hint="eastAsia" w:ascii="Times New Roman" w:hAnsi="Times New Roman"/>
          <w:b/>
          <w:kern w:val="36"/>
          <w:sz w:val="28"/>
          <w:szCs w:val="28"/>
        </w:rPr>
        <w:t>20</w:t>
      </w:r>
      <w:r>
        <w:rPr>
          <w:rFonts w:hint="eastAsia" w:ascii="Times New Roman" w:hAnsi="Times New Roman"/>
          <w:b/>
          <w:kern w:val="36"/>
          <w:sz w:val="28"/>
          <w:szCs w:val="28"/>
          <w:lang w:val="en-US" w:eastAsia="zh-CN"/>
        </w:rPr>
        <w:t>XX</w:t>
      </w:r>
      <w:r>
        <w:rPr>
          <w:rFonts w:ascii="Times New Roman" w:hAnsi="宋体"/>
          <w:b/>
          <w:kern w:val="36"/>
          <w:sz w:val="28"/>
          <w:szCs w:val="28"/>
        </w:rPr>
        <w:t>年</w:t>
      </w:r>
      <w:r>
        <w:rPr>
          <w:rFonts w:ascii="Times New Roman" w:hAnsi="Times New Roman"/>
          <w:b/>
          <w:kern w:val="36"/>
          <w:sz w:val="28"/>
          <w:szCs w:val="28"/>
        </w:rPr>
        <w:t>[XXX]</w:t>
      </w:r>
      <w:r>
        <w:rPr>
          <w:rFonts w:ascii="Times New Roman" w:hAnsi="宋体"/>
          <w:b/>
          <w:kern w:val="36"/>
          <w:sz w:val="28"/>
          <w:szCs w:val="28"/>
        </w:rPr>
        <w:t>月</w:t>
      </w:r>
      <w:r>
        <w:rPr>
          <w:rFonts w:ascii="Times New Roman" w:hAnsi="Times New Roman"/>
          <w:b/>
          <w:kern w:val="36"/>
          <w:sz w:val="28"/>
          <w:szCs w:val="28"/>
        </w:rPr>
        <w:t>[XXX]</w:t>
      </w:r>
      <w:r>
        <w:rPr>
          <w:rFonts w:ascii="Times New Roman" w:hAnsi="宋体"/>
          <w:b/>
          <w:kern w:val="36"/>
          <w:sz w:val="28"/>
          <w:szCs w:val="28"/>
        </w:rPr>
        <w:t>日</w:t>
      </w:r>
    </w:p>
    <w:p>
      <w:pPr>
        <w:jc w:val="center"/>
        <w:rPr>
          <w:b/>
          <w:kern w:val="36"/>
          <w:sz w:val="28"/>
          <w:szCs w:val="28"/>
        </w:rPr>
      </w:pPr>
    </w:p>
    <w:p>
      <w:pPr>
        <w:jc w:val="center"/>
        <w:rPr>
          <w:b/>
          <w:kern w:val="36"/>
          <w:sz w:val="28"/>
          <w:szCs w:val="28"/>
        </w:rPr>
      </w:pPr>
    </w:p>
    <w:p>
      <w:pPr>
        <w:jc w:val="center"/>
        <w:rPr>
          <w:b/>
          <w:kern w:val="36"/>
          <w:sz w:val="28"/>
          <w:szCs w:val="28"/>
        </w:rPr>
      </w:pPr>
    </w:p>
    <w:p>
      <w:pPr>
        <w:jc w:val="center"/>
        <w:rPr>
          <w:b/>
          <w:kern w:val="36"/>
          <w:sz w:val="28"/>
          <w:szCs w:val="28"/>
        </w:rPr>
      </w:pPr>
      <w:r>
        <w:rPr>
          <w:rFonts w:hint="eastAsia"/>
          <w:b/>
          <w:kern w:val="36"/>
          <w:sz w:val="28"/>
          <w:szCs w:val="28"/>
        </w:rPr>
        <w:t>目录</w:t>
      </w:r>
    </w:p>
    <w:p>
      <w:pPr>
        <w:jc w:val="center"/>
        <w:rPr>
          <w:rFonts w:ascii="Times New Roman" w:hAnsi="Times New Roman"/>
          <w:b/>
          <w:kern w:val="36"/>
          <w:sz w:val="28"/>
          <w:szCs w:val="28"/>
        </w:rPr>
      </w:pPr>
    </w:p>
    <w:p>
      <w:pPr>
        <w:pStyle w:val="11"/>
        <w:rPr>
          <w:rFonts w:ascii="Calibri" w:hAnsi="Calibri"/>
          <w:sz w:val="21"/>
        </w:rPr>
      </w:pPr>
      <w:r>
        <w:rPr>
          <w:rFonts w:ascii="Cambria" w:hAnsi="Cambria"/>
          <w:bCs/>
          <w:kern w:val="36"/>
          <w:szCs w:val="24"/>
          <w:u w:val="single"/>
        </w:rPr>
        <w:fldChar w:fldCharType="begin"/>
      </w:r>
      <w:r>
        <w:rPr>
          <w:rFonts w:ascii="Cambria" w:hAnsi="Cambria"/>
          <w:bCs/>
          <w:kern w:val="36"/>
          <w:szCs w:val="24"/>
          <w:u w:val="single"/>
        </w:rPr>
        <w:instrText xml:space="preserve"> TOC \o "1-2" \h \z \u </w:instrText>
      </w:r>
      <w:r>
        <w:rPr>
          <w:rFonts w:ascii="Cambria" w:hAnsi="Cambria"/>
          <w:bCs/>
          <w:kern w:val="36"/>
          <w:szCs w:val="24"/>
          <w:u w:val="single"/>
        </w:rPr>
        <w:fldChar w:fldCharType="separate"/>
      </w:r>
      <w:r>
        <w:fldChar w:fldCharType="begin"/>
      </w:r>
      <w:r>
        <w:instrText xml:space="preserve"> HYPERLINK \l "_Toc405278764" </w:instrText>
      </w:r>
      <w:r>
        <w:fldChar w:fldCharType="separate"/>
      </w:r>
      <w:r>
        <w:rPr>
          <w:rStyle w:val="18"/>
          <w:rFonts w:hint="eastAsia"/>
        </w:rPr>
        <w:t>第一章.</w:t>
      </w:r>
      <w:r>
        <w:rPr>
          <w:rFonts w:ascii="Calibri" w:hAnsi="Calibri"/>
          <w:sz w:val="21"/>
        </w:rPr>
        <w:tab/>
      </w:r>
      <w:r>
        <w:rPr>
          <w:rStyle w:val="18"/>
          <w:rFonts w:hint="eastAsia" w:hAnsi="宋体"/>
        </w:rPr>
        <w:t>增资</w:t>
      </w:r>
      <w:r>
        <w:tab/>
      </w:r>
      <w:r>
        <w:fldChar w:fldCharType="begin"/>
      </w:r>
      <w:r>
        <w:instrText xml:space="preserve"> PAGEREF _Toc405278764 \h </w:instrText>
      </w:r>
      <w:r>
        <w:fldChar w:fldCharType="separate"/>
      </w:r>
      <w:r>
        <w:t>- 3 -</w:t>
      </w:r>
      <w:r>
        <w:fldChar w:fldCharType="end"/>
      </w:r>
      <w:r>
        <w:fldChar w:fldCharType="end"/>
      </w:r>
    </w:p>
    <w:p>
      <w:pPr>
        <w:pStyle w:val="13"/>
        <w:tabs>
          <w:tab w:val="left" w:pos="1470"/>
          <w:tab w:val="right" w:leader="dot" w:pos="8296"/>
        </w:tabs>
        <w:rPr>
          <w:sz w:val="21"/>
        </w:rPr>
      </w:pPr>
      <w:r>
        <w:fldChar w:fldCharType="begin"/>
      </w:r>
      <w:r>
        <w:instrText xml:space="preserve"> HYPERLINK \l "_Toc405278765" </w:instrText>
      </w:r>
      <w:r>
        <w:fldChar w:fldCharType="separate"/>
      </w:r>
      <w:r>
        <w:rPr>
          <w:rStyle w:val="18"/>
          <w:rFonts w:hint="eastAsia" w:ascii="宋体" w:hAnsi="宋体"/>
        </w:rPr>
        <w:t>第一条</w:t>
      </w:r>
      <w:r>
        <w:rPr>
          <w:sz w:val="21"/>
        </w:rPr>
        <w:tab/>
      </w:r>
      <w:r>
        <w:rPr>
          <w:rStyle w:val="18"/>
          <w:rFonts w:hint="eastAsia" w:ascii="宋体" w:hAnsi="宋体"/>
        </w:rPr>
        <w:t>增资与认购</w:t>
      </w:r>
      <w:r>
        <w:tab/>
      </w:r>
      <w:r>
        <w:fldChar w:fldCharType="begin"/>
      </w:r>
      <w:r>
        <w:instrText xml:space="preserve"> PAGEREF _Toc405278765 \h </w:instrText>
      </w:r>
      <w:r>
        <w:fldChar w:fldCharType="separate"/>
      </w:r>
      <w:r>
        <w:t>- 3 -</w:t>
      </w:r>
      <w:r>
        <w:fldChar w:fldCharType="end"/>
      </w:r>
      <w:r>
        <w:fldChar w:fldCharType="end"/>
      </w:r>
    </w:p>
    <w:p>
      <w:pPr>
        <w:pStyle w:val="13"/>
        <w:tabs>
          <w:tab w:val="left" w:pos="1470"/>
          <w:tab w:val="right" w:leader="dot" w:pos="8296"/>
        </w:tabs>
        <w:rPr>
          <w:sz w:val="21"/>
        </w:rPr>
      </w:pPr>
      <w:r>
        <w:fldChar w:fldCharType="begin"/>
      </w:r>
      <w:r>
        <w:instrText xml:space="preserve"> HYPERLINK \l "_Toc405278766" </w:instrText>
      </w:r>
      <w:r>
        <w:fldChar w:fldCharType="separate"/>
      </w:r>
      <w:r>
        <w:rPr>
          <w:rStyle w:val="18"/>
          <w:rFonts w:hint="eastAsia" w:ascii="宋体" w:hAnsi="宋体"/>
        </w:rPr>
        <w:t>第二条</w:t>
      </w:r>
      <w:r>
        <w:rPr>
          <w:sz w:val="21"/>
        </w:rPr>
        <w:tab/>
      </w:r>
      <w:r>
        <w:rPr>
          <w:rStyle w:val="18"/>
          <w:rFonts w:hint="eastAsia" w:ascii="宋体" w:hAnsi="宋体"/>
        </w:rPr>
        <w:t>增资时各方的义务</w:t>
      </w:r>
      <w:r>
        <w:tab/>
      </w:r>
      <w:r>
        <w:fldChar w:fldCharType="begin"/>
      </w:r>
      <w:r>
        <w:instrText xml:space="preserve"> PAGEREF _Toc405278766 \h </w:instrText>
      </w:r>
      <w:r>
        <w:fldChar w:fldCharType="separate"/>
      </w:r>
      <w:r>
        <w:t>- 4 -</w:t>
      </w:r>
      <w:r>
        <w:fldChar w:fldCharType="end"/>
      </w:r>
      <w:r>
        <w:fldChar w:fldCharType="end"/>
      </w:r>
    </w:p>
    <w:p>
      <w:pPr>
        <w:pStyle w:val="11"/>
        <w:rPr>
          <w:rFonts w:ascii="Calibri" w:hAnsi="Calibri"/>
          <w:sz w:val="21"/>
        </w:rPr>
      </w:pPr>
      <w:r>
        <w:fldChar w:fldCharType="begin"/>
      </w:r>
      <w:r>
        <w:instrText xml:space="preserve"> HYPERLINK \l "_Toc405278767" </w:instrText>
      </w:r>
      <w:r>
        <w:fldChar w:fldCharType="separate"/>
      </w:r>
      <w:r>
        <w:rPr>
          <w:rStyle w:val="18"/>
          <w:rFonts w:hint="eastAsia" w:hAnsi="宋体"/>
        </w:rPr>
        <w:t>第二章.</w:t>
      </w:r>
      <w:r>
        <w:rPr>
          <w:rFonts w:ascii="Calibri" w:hAnsi="Calibri"/>
          <w:sz w:val="21"/>
        </w:rPr>
        <w:tab/>
      </w:r>
      <w:r>
        <w:rPr>
          <w:rStyle w:val="18"/>
          <w:rFonts w:hint="eastAsia" w:hAnsi="宋体"/>
        </w:rPr>
        <w:t>各方的陈述和保证</w:t>
      </w:r>
      <w:r>
        <w:tab/>
      </w:r>
      <w:r>
        <w:fldChar w:fldCharType="begin"/>
      </w:r>
      <w:r>
        <w:instrText xml:space="preserve"> PAGEREF _Toc405278767 \h </w:instrText>
      </w:r>
      <w:r>
        <w:fldChar w:fldCharType="separate"/>
      </w:r>
      <w:r>
        <w:t>- 5 -</w:t>
      </w:r>
      <w:r>
        <w:fldChar w:fldCharType="end"/>
      </w:r>
      <w:r>
        <w:fldChar w:fldCharType="end"/>
      </w:r>
    </w:p>
    <w:p>
      <w:pPr>
        <w:pStyle w:val="13"/>
        <w:tabs>
          <w:tab w:val="left" w:pos="1470"/>
          <w:tab w:val="right" w:leader="dot" w:pos="8296"/>
        </w:tabs>
        <w:rPr>
          <w:sz w:val="21"/>
        </w:rPr>
      </w:pPr>
      <w:r>
        <w:fldChar w:fldCharType="begin"/>
      </w:r>
      <w:r>
        <w:instrText xml:space="preserve"> HYPERLINK \l "_Toc405278768" </w:instrText>
      </w:r>
      <w:r>
        <w:fldChar w:fldCharType="separate"/>
      </w:r>
      <w:r>
        <w:rPr>
          <w:rStyle w:val="18"/>
          <w:rFonts w:hint="eastAsia" w:ascii="宋体" w:hAnsi="宋体"/>
        </w:rPr>
        <w:t>第三条</w:t>
      </w:r>
      <w:r>
        <w:rPr>
          <w:sz w:val="21"/>
        </w:rPr>
        <w:tab/>
      </w:r>
      <w:r>
        <w:rPr>
          <w:rStyle w:val="18"/>
          <w:rFonts w:hint="eastAsia" w:ascii="宋体" w:hAnsi="宋体"/>
        </w:rPr>
        <w:t>创始人与公司的陈述和保证：</w:t>
      </w:r>
      <w:r>
        <w:tab/>
      </w:r>
      <w:r>
        <w:fldChar w:fldCharType="begin"/>
      </w:r>
      <w:r>
        <w:instrText xml:space="preserve"> PAGEREF _Toc405278768 \h </w:instrText>
      </w:r>
      <w:r>
        <w:fldChar w:fldCharType="separate"/>
      </w:r>
      <w:r>
        <w:t>- 5 -</w:t>
      </w:r>
      <w:r>
        <w:fldChar w:fldCharType="end"/>
      </w:r>
      <w:r>
        <w:fldChar w:fldCharType="end"/>
      </w:r>
    </w:p>
    <w:p>
      <w:pPr>
        <w:pStyle w:val="13"/>
        <w:tabs>
          <w:tab w:val="left" w:pos="1470"/>
          <w:tab w:val="right" w:leader="dot" w:pos="8296"/>
        </w:tabs>
        <w:rPr>
          <w:sz w:val="21"/>
        </w:rPr>
      </w:pPr>
      <w:r>
        <w:fldChar w:fldCharType="begin"/>
      </w:r>
      <w:r>
        <w:instrText xml:space="preserve"> HYPERLINK \l "_Toc405278769" </w:instrText>
      </w:r>
      <w:r>
        <w:fldChar w:fldCharType="separate"/>
      </w:r>
      <w:r>
        <w:rPr>
          <w:rStyle w:val="18"/>
          <w:rFonts w:hint="eastAsia" w:ascii="宋体" w:hAnsi="宋体"/>
        </w:rPr>
        <w:t>第四条</w:t>
      </w:r>
      <w:r>
        <w:rPr>
          <w:sz w:val="21"/>
        </w:rPr>
        <w:tab/>
      </w:r>
      <w:r>
        <w:rPr>
          <w:rStyle w:val="18"/>
          <w:rFonts w:hint="eastAsia" w:ascii="宋体" w:hAnsi="宋体"/>
        </w:rPr>
        <w:t>投资人的陈述和保证</w:t>
      </w:r>
      <w:r>
        <w:tab/>
      </w:r>
      <w:r>
        <w:fldChar w:fldCharType="begin"/>
      </w:r>
      <w:r>
        <w:instrText xml:space="preserve"> PAGEREF _Toc405278769 \h </w:instrText>
      </w:r>
      <w:r>
        <w:fldChar w:fldCharType="separate"/>
      </w:r>
      <w:r>
        <w:t>- 7 -</w:t>
      </w:r>
      <w:r>
        <w:fldChar w:fldCharType="end"/>
      </w:r>
      <w:r>
        <w:fldChar w:fldCharType="end"/>
      </w:r>
    </w:p>
    <w:p>
      <w:pPr>
        <w:pStyle w:val="11"/>
        <w:rPr>
          <w:rFonts w:ascii="Calibri" w:hAnsi="Calibri"/>
          <w:sz w:val="21"/>
        </w:rPr>
      </w:pPr>
      <w:r>
        <w:fldChar w:fldCharType="begin"/>
      </w:r>
      <w:r>
        <w:instrText xml:space="preserve"> HYPERLINK \l "_Toc405278770" </w:instrText>
      </w:r>
      <w:r>
        <w:fldChar w:fldCharType="separate"/>
      </w:r>
      <w:r>
        <w:rPr>
          <w:rStyle w:val="18"/>
          <w:rFonts w:hint="eastAsia" w:hAnsi="宋体"/>
        </w:rPr>
        <w:t>第三章.</w:t>
      </w:r>
      <w:r>
        <w:rPr>
          <w:rFonts w:ascii="Calibri" w:hAnsi="Calibri"/>
          <w:sz w:val="21"/>
        </w:rPr>
        <w:tab/>
      </w:r>
      <w:r>
        <w:rPr>
          <w:rStyle w:val="18"/>
          <w:rFonts w:hint="eastAsia" w:hAnsi="宋体"/>
        </w:rPr>
        <w:t>创始人的权利限制</w:t>
      </w:r>
      <w:r>
        <w:tab/>
      </w:r>
      <w:r>
        <w:fldChar w:fldCharType="begin"/>
      </w:r>
      <w:r>
        <w:instrText xml:space="preserve"> PAGEREF _Toc405278770 \h </w:instrText>
      </w:r>
      <w:r>
        <w:fldChar w:fldCharType="separate"/>
      </w:r>
      <w:r>
        <w:t>- 7 -</w:t>
      </w:r>
      <w:r>
        <w:fldChar w:fldCharType="end"/>
      </w:r>
      <w:r>
        <w:fldChar w:fldCharType="end"/>
      </w:r>
    </w:p>
    <w:p>
      <w:pPr>
        <w:pStyle w:val="13"/>
        <w:tabs>
          <w:tab w:val="left" w:pos="1470"/>
          <w:tab w:val="right" w:leader="dot" w:pos="8296"/>
        </w:tabs>
        <w:rPr>
          <w:sz w:val="21"/>
        </w:rPr>
      </w:pPr>
      <w:r>
        <w:fldChar w:fldCharType="begin"/>
      </w:r>
      <w:r>
        <w:instrText xml:space="preserve"> HYPERLINK \l "_Toc405278771" </w:instrText>
      </w:r>
      <w:r>
        <w:fldChar w:fldCharType="separate"/>
      </w:r>
      <w:r>
        <w:rPr>
          <w:rStyle w:val="18"/>
          <w:rFonts w:hint="eastAsia" w:ascii="宋体" w:hAnsi="宋体"/>
        </w:rPr>
        <w:t>第五条</w:t>
      </w:r>
      <w:r>
        <w:rPr>
          <w:sz w:val="21"/>
        </w:rPr>
        <w:tab/>
      </w:r>
      <w:r>
        <w:rPr>
          <w:rStyle w:val="18"/>
          <w:rFonts w:hint="eastAsia" w:ascii="宋体" w:hAnsi="宋体"/>
        </w:rPr>
        <w:t>股权的成熟</w:t>
      </w:r>
      <w:r>
        <w:tab/>
      </w:r>
      <w:r>
        <w:fldChar w:fldCharType="begin"/>
      </w:r>
      <w:r>
        <w:instrText xml:space="preserve"> PAGEREF _Toc405278771 \h </w:instrText>
      </w:r>
      <w:r>
        <w:fldChar w:fldCharType="separate"/>
      </w:r>
      <w:r>
        <w:t>- 7 -</w:t>
      </w:r>
      <w:r>
        <w:fldChar w:fldCharType="end"/>
      </w:r>
      <w:r>
        <w:fldChar w:fldCharType="end"/>
      </w:r>
    </w:p>
    <w:p>
      <w:pPr>
        <w:pStyle w:val="13"/>
        <w:tabs>
          <w:tab w:val="left" w:pos="1470"/>
          <w:tab w:val="right" w:leader="dot" w:pos="8296"/>
        </w:tabs>
        <w:rPr>
          <w:sz w:val="21"/>
        </w:rPr>
      </w:pPr>
      <w:r>
        <w:fldChar w:fldCharType="begin"/>
      </w:r>
      <w:r>
        <w:instrText xml:space="preserve"> HYPERLINK \l "_Toc405278772" </w:instrText>
      </w:r>
      <w:r>
        <w:fldChar w:fldCharType="separate"/>
      </w:r>
      <w:r>
        <w:rPr>
          <w:rStyle w:val="18"/>
          <w:rFonts w:hint="eastAsia" w:ascii="宋体" w:hAnsi="宋体"/>
        </w:rPr>
        <w:t>第六条</w:t>
      </w:r>
      <w:r>
        <w:rPr>
          <w:sz w:val="21"/>
        </w:rPr>
        <w:tab/>
      </w:r>
      <w:r>
        <w:rPr>
          <w:rStyle w:val="18"/>
          <w:rFonts w:hint="eastAsia" w:ascii="宋体" w:hAnsi="宋体"/>
        </w:rPr>
        <w:t>股权转让限制</w:t>
      </w:r>
      <w:r>
        <w:tab/>
      </w:r>
      <w:r>
        <w:fldChar w:fldCharType="begin"/>
      </w:r>
      <w:r>
        <w:instrText xml:space="preserve"> PAGEREF _Toc405278772 \h </w:instrText>
      </w:r>
      <w:r>
        <w:fldChar w:fldCharType="separate"/>
      </w:r>
      <w:r>
        <w:t>- 8 -</w:t>
      </w:r>
      <w:r>
        <w:fldChar w:fldCharType="end"/>
      </w:r>
      <w:r>
        <w:fldChar w:fldCharType="end"/>
      </w:r>
    </w:p>
    <w:p>
      <w:pPr>
        <w:pStyle w:val="13"/>
        <w:tabs>
          <w:tab w:val="left" w:pos="1470"/>
          <w:tab w:val="right" w:leader="dot" w:pos="8296"/>
        </w:tabs>
        <w:rPr>
          <w:sz w:val="21"/>
        </w:rPr>
      </w:pPr>
      <w:r>
        <w:fldChar w:fldCharType="begin"/>
      </w:r>
      <w:r>
        <w:instrText xml:space="preserve"> HYPERLINK \l "_Toc405278773" </w:instrText>
      </w:r>
      <w:r>
        <w:fldChar w:fldCharType="separate"/>
      </w:r>
      <w:r>
        <w:rPr>
          <w:rStyle w:val="18"/>
          <w:rFonts w:hint="eastAsia" w:ascii="宋体" w:hAnsi="宋体"/>
        </w:rPr>
        <w:t>第七条</w:t>
      </w:r>
      <w:r>
        <w:rPr>
          <w:sz w:val="21"/>
        </w:rPr>
        <w:tab/>
      </w:r>
      <w:r>
        <w:rPr>
          <w:rStyle w:val="18"/>
          <w:rFonts w:hint="eastAsia" w:ascii="宋体" w:hAnsi="宋体"/>
        </w:rPr>
        <w:t>全职工作、竞业禁止与禁止劝诱</w:t>
      </w:r>
      <w:r>
        <w:tab/>
      </w:r>
      <w:r>
        <w:fldChar w:fldCharType="begin"/>
      </w:r>
      <w:r>
        <w:instrText xml:space="preserve"> PAGEREF _Toc405278773 \h </w:instrText>
      </w:r>
      <w:r>
        <w:fldChar w:fldCharType="separate"/>
      </w:r>
      <w:r>
        <w:t>- 8 -</w:t>
      </w:r>
      <w:r>
        <w:fldChar w:fldCharType="end"/>
      </w:r>
      <w:r>
        <w:fldChar w:fldCharType="end"/>
      </w:r>
    </w:p>
    <w:p>
      <w:pPr>
        <w:pStyle w:val="11"/>
        <w:rPr>
          <w:rFonts w:ascii="Calibri" w:hAnsi="Calibri"/>
          <w:sz w:val="21"/>
        </w:rPr>
      </w:pPr>
      <w:r>
        <w:fldChar w:fldCharType="begin"/>
      </w:r>
      <w:r>
        <w:instrText xml:space="preserve"> HYPERLINK \l "_Toc405278774" </w:instrText>
      </w:r>
      <w:r>
        <w:fldChar w:fldCharType="separate"/>
      </w:r>
      <w:r>
        <w:rPr>
          <w:rStyle w:val="18"/>
          <w:rFonts w:hint="eastAsia"/>
        </w:rPr>
        <w:t>第四章.</w:t>
      </w:r>
      <w:r>
        <w:rPr>
          <w:rFonts w:ascii="Calibri" w:hAnsi="Calibri"/>
          <w:sz w:val="21"/>
        </w:rPr>
        <w:tab/>
      </w:r>
      <w:r>
        <w:rPr>
          <w:rStyle w:val="18"/>
          <w:rFonts w:hint="eastAsia"/>
        </w:rPr>
        <w:t>投资人的优先权</w:t>
      </w:r>
      <w:r>
        <w:tab/>
      </w:r>
      <w:r>
        <w:fldChar w:fldCharType="begin"/>
      </w:r>
      <w:r>
        <w:instrText xml:space="preserve"> PAGEREF _Toc405278774 \h </w:instrText>
      </w:r>
      <w:r>
        <w:fldChar w:fldCharType="separate"/>
      </w:r>
      <w:r>
        <w:t>- 8 -</w:t>
      </w:r>
      <w:r>
        <w:fldChar w:fldCharType="end"/>
      </w:r>
      <w:r>
        <w:fldChar w:fldCharType="end"/>
      </w:r>
    </w:p>
    <w:p>
      <w:pPr>
        <w:pStyle w:val="13"/>
        <w:tabs>
          <w:tab w:val="left" w:pos="1470"/>
          <w:tab w:val="right" w:leader="dot" w:pos="8296"/>
        </w:tabs>
        <w:rPr>
          <w:sz w:val="21"/>
        </w:rPr>
      </w:pPr>
      <w:r>
        <w:fldChar w:fldCharType="begin"/>
      </w:r>
      <w:r>
        <w:instrText xml:space="preserve"> HYPERLINK \l "_Toc405278775" </w:instrText>
      </w:r>
      <w:r>
        <w:fldChar w:fldCharType="separate"/>
      </w:r>
      <w:r>
        <w:rPr>
          <w:rStyle w:val="18"/>
          <w:rFonts w:hint="eastAsia" w:ascii="宋体" w:hAnsi="宋体"/>
        </w:rPr>
        <w:t>第八条</w:t>
      </w:r>
      <w:r>
        <w:rPr>
          <w:sz w:val="21"/>
        </w:rPr>
        <w:tab/>
      </w:r>
      <w:r>
        <w:rPr>
          <w:rStyle w:val="18"/>
          <w:rFonts w:hint="eastAsia" w:ascii="宋体" w:hAnsi="宋体"/>
        </w:rPr>
        <w:t>清算优先权</w:t>
      </w:r>
      <w:r>
        <w:tab/>
      </w:r>
      <w:r>
        <w:fldChar w:fldCharType="begin"/>
      </w:r>
      <w:r>
        <w:instrText xml:space="preserve"> PAGEREF _Toc405278775 \h </w:instrText>
      </w:r>
      <w:r>
        <w:fldChar w:fldCharType="separate"/>
      </w:r>
      <w:r>
        <w:t>- 8 -</w:t>
      </w:r>
      <w:r>
        <w:fldChar w:fldCharType="end"/>
      </w:r>
      <w:r>
        <w:fldChar w:fldCharType="end"/>
      </w:r>
    </w:p>
    <w:p>
      <w:pPr>
        <w:pStyle w:val="13"/>
        <w:tabs>
          <w:tab w:val="left" w:pos="1470"/>
          <w:tab w:val="right" w:leader="dot" w:pos="8296"/>
        </w:tabs>
        <w:rPr>
          <w:sz w:val="21"/>
        </w:rPr>
      </w:pPr>
      <w:r>
        <w:fldChar w:fldCharType="begin"/>
      </w:r>
      <w:r>
        <w:instrText xml:space="preserve"> HYPERLINK \l "_Toc405278776" </w:instrText>
      </w:r>
      <w:r>
        <w:fldChar w:fldCharType="separate"/>
      </w:r>
      <w:r>
        <w:rPr>
          <w:rStyle w:val="18"/>
          <w:rFonts w:hint="eastAsia" w:ascii="宋体" w:hAnsi="宋体"/>
        </w:rPr>
        <w:t>第九条</w:t>
      </w:r>
      <w:r>
        <w:rPr>
          <w:sz w:val="21"/>
        </w:rPr>
        <w:tab/>
      </w:r>
      <w:r>
        <w:rPr>
          <w:rStyle w:val="18"/>
          <w:rFonts w:hint="eastAsia" w:ascii="宋体" w:hAnsi="宋体"/>
        </w:rPr>
        <w:t>优先购买权</w:t>
      </w:r>
      <w:r>
        <w:tab/>
      </w:r>
      <w:r>
        <w:fldChar w:fldCharType="begin"/>
      </w:r>
      <w:r>
        <w:instrText xml:space="preserve"> PAGEREF _Toc405278776 \h </w:instrText>
      </w:r>
      <w:r>
        <w:fldChar w:fldCharType="separate"/>
      </w:r>
      <w:r>
        <w:t>- 9 -</w:t>
      </w:r>
      <w:r>
        <w:fldChar w:fldCharType="end"/>
      </w:r>
      <w:r>
        <w:fldChar w:fldCharType="end"/>
      </w:r>
    </w:p>
    <w:p>
      <w:pPr>
        <w:pStyle w:val="13"/>
        <w:tabs>
          <w:tab w:val="left" w:pos="1470"/>
          <w:tab w:val="right" w:leader="dot" w:pos="8296"/>
        </w:tabs>
        <w:rPr>
          <w:sz w:val="21"/>
        </w:rPr>
      </w:pPr>
      <w:r>
        <w:fldChar w:fldCharType="begin"/>
      </w:r>
      <w:r>
        <w:instrText xml:space="preserve"> HYPERLINK \l "_Toc405278777" </w:instrText>
      </w:r>
      <w:r>
        <w:fldChar w:fldCharType="separate"/>
      </w:r>
      <w:r>
        <w:rPr>
          <w:rStyle w:val="18"/>
          <w:rFonts w:hint="eastAsia" w:ascii="宋体" w:hAnsi="宋体"/>
        </w:rPr>
        <w:t>第十条</w:t>
      </w:r>
      <w:r>
        <w:rPr>
          <w:sz w:val="21"/>
        </w:rPr>
        <w:tab/>
      </w:r>
      <w:r>
        <w:rPr>
          <w:rStyle w:val="18"/>
          <w:rFonts w:hint="eastAsia" w:ascii="宋体" w:hAnsi="宋体"/>
        </w:rPr>
        <w:t>共同出售权</w:t>
      </w:r>
      <w:r>
        <w:tab/>
      </w:r>
      <w:r>
        <w:fldChar w:fldCharType="begin"/>
      </w:r>
      <w:r>
        <w:instrText xml:space="preserve"> PAGEREF _Toc405278777 \h </w:instrText>
      </w:r>
      <w:r>
        <w:fldChar w:fldCharType="separate"/>
      </w:r>
      <w:r>
        <w:t>- 9 -</w:t>
      </w:r>
      <w:r>
        <w:fldChar w:fldCharType="end"/>
      </w:r>
      <w:r>
        <w:fldChar w:fldCharType="end"/>
      </w:r>
    </w:p>
    <w:p>
      <w:pPr>
        <w:pStyle w:val="13"/>
        <w:tabs>
          <w:tab w:val="left" w:pos="1680"/>
          <w:tab w:val="right" w:leader="dot" w:pos="8296"/>
        </w:tabs>
        <w:rPr>
          <w:sz w:val="21"/>
        </w:rPr>
      </w:pPr>
      <w:r>
        <w:fldChar w:fldCharType="begin"/>
      </w:r>
      <w:r>
        <w:instrText xml:space="preserve"> HYPERLINK \l "_Toc405278778" </w:instrText>
      </w:r>
      <w:r>
        <w:fldChar w:fldCharType="separate"/>
      </w:r>
      <w:r>
        <w:rPr>
          <w:rStyle w:val="18"/>
          <w:rFonts w:hint="eastAsia" w:ascii="宋体" w:hAnsi="宋体"/>
        </w:rPr>
        <w:t>第十一条</w:t>
      </w:r>
      <w:r>
        <w:rPr>
          <w:sz w:val="21"/>
        </w:rPr>
        <w:tab/>
      </w:r>
      <w:r>
        <w:rPr>
          <w:rStyle w:val="18"/>
          <w:rFonts w:hint="eastAsia" w:ascii="宋体" w:hAnsi="宋体"/>
        </w:rPr>
        <w:t>优先认购权</w:t>
      </w:r>
      <w:r>
        <w:tab/>
      </w:r>
      <w:r>
        <w:fldChar w:fldCharType="begin"/>
      </w:r>
      <w:r>
        <w:instrText xml:space="preserve"> PAGEREF _Toc405278778 \h </w:instrText>
      </w:r>
      <w:r>
        <w:fldChar w:fldCharType="separate"/>
      </w:r>
      <w:r>
        <w:t>- 9 -</w:t>
      </w:r>
      <w:r>
        <w:fldChar w:fldCharType="end"/>
      </w:r>
      <w:r>
        <w:fldChar w:fldCharType="end"/>
      </w:r>
    </w:p>
    <w:p>
      <w:pPr>
        <w:pStyle w:val="13"/>
        <w:tabs>
          <w:tab w:val="left" w:pos="1680"/>
          <w:tab w:val="right" w:leader="dot" w:pos="8296"/>
        </w:tabs>
        <w:rPr>
          <w:sz w:val="21"/>
        </w:rPr>
      </w:pPr>
      <w:r>
        <w:fldChar w:fldCharType="begin"/>
      </w:r>
      <w:r>
        <w:instrText xml:space="preserve"> HYPERLINK \l "_Toc405278779" </w:instrText>
      </w:r>
      <w:r>
        <w:fldChar w:fldCharType="separate"/>
      </w:r>
      <w:r>
        <w:rPr>
          <w:rStyle w:val="18"/>
          <w:rFonts w:hint="eastAsia" w:ascii="宋体" w:hAnsi="宋体"/>
        </w:rPr>
        <w:t>第十二条</w:t>
      </w:r>
      <w:r>
        <w:rPr>
          <w:sz w:val="21"/>
        </w:rPr>
        <w:tab/>
      </w:r>
      <w:r>
        <w:rPr>
          <w:rStyle w:val="18"/>
          <w:rFonts w:hint="eastAsia" w:ascii="宋体" w:hAnsi="宋体"/>
        </w:rPr>
        <w:t>反稀释</w:t>
      </w:r>
      <w:r>
        <w:tab/>
      </w:r>
      <w:r>
        <w:fldChar w:fldCharType="begin"/>
      </w:r>
      <w:r>
        <w:instrText xml:space="preserve"> PAGEREF _Toc405278779 \h </w:instrText>
      </w:r>
      <w:r>
        <w:fldChar w:fldCharType="separate"/>
      </w:r>
      <w:r>
        <w:t>- 10 -</w:t>
      </w:r>
      <w:r>
        <w:fldChar w:fldCharType="end"/>
      </w:r>
      <w:r>
        <w:fldChar w:fldCharType="end"/>
      </w:r>
    </w:p>
    <w:p>
      <w:pPr>
        <w:pStyle w:val="13"/>
        <w:tabs>
          <w:tab w:val="left" w:pos="1680"/>
          <w:tab w:val="right" w:leader="dot" w:pos="8296"/>
        </w:tabs>
        <w:rPr>
          <w:sz w:val="21"/>
        </w:rPr>
      </w:pPr>
      <w:r>
        <w:fldChar w:fldCharType="begin"/>
      </w:r>
      <w:r>
        <w:instrText xml:space="preserve"> HYPERLINK \l "_Toc405278780" </w:instrText>
      </w:r>
      <w:r>
        <w:fldChar w:fldCharType="separate"/>
      </w:r>
      <w:r>
        <w:rPr>
          <w:rStyle w:val="18"/>
          <w:rFonts w:hint="eastAsia" w:ascii="宋体" w:hAnsi="宋体"/>
        </w:rPr>
        <w:t>第十三条</w:t>
      </w:r>
      <w:r>
        <w:rPr>
          <w:sz w:val="21"/>
        </w:rPr>
        <w:tab/>
      </w:r>
      <w:r>
        <w:rPr>
          <w:rStyle w:val="18"/>
          <w:rFonts w:hint="eastAsia" w:ascii="宋体" w:hAnsi="宋体"/>
        </w:rPr>
        <w:t>优先投资权</w:t>
      </w:r>
      <w:r>
        <w:tab/>
      </w:r>
      <w:r>
        <w:fldChar w:fldCharType="begin"/>
      </w:r>
      <w:r>
        <w:instrText xml:space="preserve"> PAGEREF _Toc405278780 \h </w:instrText>
      </w:r>
      <w:r>
        <w:fldChar w:fldCharType="separate"/>
      </w:r>
      <w:r>
        <w:t>- 10 -</w:t>
      </w:r>
      <w:r>
        <w:fldChar w:fldCharType="end"/>
      </w:r>
      <w:r>
        <w:fldChar w:fldCharType="end"/>
      </w:r>
    </w:p>
    <w:p>
      <w:pPr>
        <w:pStyle w:val="13"/>
        <w:tabs>
          <w:tab w:val="left" w:pos="1680"/>
          <w:tab w:val="right" w:leader="dot" w:pos="8296"/>
        </w:tabs>
        <w:rPr>
          <w:sz w:val="21"/>
        </w:rPr>
      </w:pPr>
      <w:r>
        <w:fldChar w:fldCharType="begin"/>
      </w:r>
      <w:r>
        <w:instrText xml:space="preserve"> HYPERLINK \l "_Toc405278781" </w:instrText>
      </w:r>
      <w:r>
        <w:fldChar w:fldCharType="separate"/>
      </w:r>
      <w:r>
        <w:rPr>
          <w:rStyle w:val="18"/>
          <w:rFonts w:hint="eastAsia" w:ascii="宋体" w:hAnsi="宋体"/>
        </w:rPr>
        <w:t>第十四条</w:t>
      </w:r>
      <w:r>
        <w:rPr>
          <w:sz w:val="21"/>
        </w:rPr>
        <w:tab/>
      </w:r>
      <w:r>
        <w:rPr>
          <w:rStyle w:val="18"/>
          <w:rFonts w:hint="eastAsia" w:ascii="宋体" w:hAnsi="宋体"/>
        </w:rPr>
        <w:t>信息权</w:t>
      </w:r>
      <w:r>
        <w:tab/>
      </w:r>
      <w:r>
        <w:fldChar w:fldCharType="begin"/>
      </w:r>
      <w:r>
        <w:instrText xml:space="preserve"> PAGEREF _Toc405278781 \h </w:instrText>
      </w:r>
      <w:r>
        <w:fldChar w:fldCharType="separate"/>
      </w:r>
      <w:r>
        <w:t>- 11 -</w:t>
      </w:r>
      <w:r>
        <w:fldChar w:fldCharType="end"/>
      </w:r>
      <w:r>
        <w:fldChar w:fldCharType="end"/>
      </w:r>
    </w:p>
    <w:p>
      <w:pPr>
        <w:pStyle w:val="11"/>
        <w:rPr>
          <w:rFonts w:ascii="Calibri" w:hAnsi="Calibri"/>
          <w:sz w:val="21"/>
        </w:rPr>
      </w:pPr>
      <w:r>
        <w:fldChar w:fldCharType="begin"/>
      </w:r>
      <w:r>
        <w:instrText xml:space="preserve"> HYPERLINK \l "_Toc405278782" </w:instrText>
      </w:r>
      <w:r>
        <w:fldChar w:fldCharType="separate"/>
      </w:r>
      <w:r>
        <w:rPr>
          <w:rStyle w:val="18"/>
          <w:rFonts w:hint="eastAsia" w:hAnsi="宋体"/>
        </w:rPr>
        <w:t>第五章.</w:t>
      </w:r>
      <w:r>
        <w:rPr>
          <w:rFonts w:ascii="Calibri" w:hAnsi="Calibri"/>
          <w:sz w:val="21"/>
        </w:rPr>
        <w:tab/>
      </w:r>
      <w:r>
        <w:rPr>
          <w:rStyle w:val="18"/>
          <w:rFonts w:hint="eastAsia" w:hAnsi="宋体"/>
        </w:rPr>
        <w:t>公司治理</w:t>
      </w:r>
      <w:r>
        <w:tab/>
      </w:r>
      <w:r>
        <w:fldChar w:fldCharType="begin"/>
      </w:r>
      <w:r>
        <w:instrText xml:space="preserve"> PAGEREF _Toc405278782 \h </w:instrText>
      </w:r>
      <w:r>
        <w:fldChar w:fldCharType="separate"/>
      </w:r>
      <w:r>
        <w:t>- 11 -</w:t>
      </w:r>
      <w:r>
        <w:fldChar w:fldCharType="end"/>
      </w:r>
      <w:r>
        <w:fldChar w:fldCharType="end"/>
      </w:r>
    </w:p>
    <w:p>
      <w:pPr>
        <w:pStyle w:val="13"/>
        <w:tabs>
          <w:tab w:val="left" w:pos="1680"/>
          <w:tab w:val="right" w:leader="dot" w:pos="8296"/>
        </w:tabs>
        <w:rPr>
          <w:sz w:val="21"/>
        </w:rPr>
      </w:pPr>
      <w:r>
        <w:fldChar w:fldCharType="begin"/>
      </w:r>
      <w:r>
        <w:instrText xml:space="preserve"> HYPERLINK \l "_Toc405278783" </w:instrText>
      </w:r>
      <w:r>
        <w:fldChar w:fldCharType="separate"/>
      </w:r>
      <w:r>
        <w:rPr>
          <w:rStyle w:val="18"/>
          <w:rFonts w:hint="eastAsia" w:ascii="宋体" w:hAnsi="宋体"/>
        </w:rPr>
        <w:t>第十五条</w:t>
      </w:r>
      <w:r>
        <w:rPr>
          <w:sz w:val="21"/>
        </w:rPr>
        <w:tab/>
      </w:r>
      <w:r>
        <w:rPr>
          <w:rStyle w:val="18"/>
          <w:rFonts w:hint="eastAsia" w:ascii="宋体" w:hAnsi="宋体"/>
        </w:rPr>
        <w:t>董事会</w:t>
      </w:r>
      <w:r>
        <w:tab/>
      </w:r>
      <w:r>
        <w:fldChar w:fldCharType="begin"/>
      </w:r>
      <w:r>
        <w:instrText xml:space="preserve"> PAGEREF _Toc405278783 \h </w:instrText>
      </w:r>
      <w:r>
        <w:fldChar w:fldCharType="separate"/>
      </w:r>
      <w:r>
        <w:t>- 11 -</w:t>
      </w:r>
      <w:r>
        <w:fldChar w:fldCharType="end"/>
      </w:r>
      <w:r>
        <w:fldChar w:fldCharType="end"/>
      </w:r>
    </w:p>
    <w:p>
      <w:pPr>
        <w:pStyle w:val="13"/>
        <w:tabs>
          <w:tab w:val="left" w:pos="1680"/>
          <w:tab w:val="right" w:leader="dot" w:pos="8296"/>
        </w:tabs>
        <w:rPr>
          <w:sz w:val="21"/>
        </w:rPr>
      </w:pPr>
      <w:r>
        <w:fldChar w:fldCharType="begin"/>
      </w:r>
      <w:r>
        <w:instrText xml:space="preserve"> HYPERLINK \l "_Toc405278784" </w:instrText>
      </w:r>
      <w:r>
        <w:fldChar w:fldCharType="separate"/>
      </w:r>
      <w:r>
        <w:rPr>
          <w:rStyle w:val="18"/>
          <w:rFonts w:hint="eastAsia" w:ascii="宋体" w:hAnsi="宋体"/>
        </w:rPr>
        <w:t>第十六条</w:t>
      </w:r>
      <w:r>
        <w:rPr>
          <w:sz w:val="21"/>
        </w:rPr>
        <w:tab/>
      </w:r>
      <w:r>
        <w:rPr>
          <w:rStyle w:val="18"/>
          <w:rFonts w:hint="eastAsia" w:ascii="宋体" w:hAnsi="宋体"/>
        </w:rPr>
        <w:t>保护性条款</w:t>
      </w:r>
      <w:r>
        <w:tab/>
      </w:r>
      <w:r>
        <w:fldChar w:fldCharType="begin"/>
      </w:r>
      <w:r>
        <w:instrText xml:space="preserve"> PAGEREF _Toc405278784 \h </w:instrText>
      </w:r>
      <w:r>
        <w:fldChar w:fldCharType="separate"/>
      </w:r>
      <w:r>
        <w:t>- 11 -</w:t>
      </w:r>
      <w:r>
        <w:fldChar w:fldCharType="end"/>
      </w:r>
      <w:r>
        <w:fldChar w:fldCharType="end"/>
      </w:r>
    </w:p>
    <w:p>
      <w:pPr>
        <w:pStyle w:val="11"/>
        <w:rPr>
          <w:rFonts w:ascii="Calibri" w:hAnsi="Calibri"/>
          <w:sz w:val="21"/>
        </w:rPr>
      </w:pPr>
      <w:r>
        <w:fldChar w:fldCharType="begin"/>
      </w:r>
      <w:r>
        <w:instrText xml:space="preserve"> HYPERLINK \l "_Toc405278785" </w:instrText>
      </w:r>
      <w:r>
        <w:fldChar w:fldCharType="separate"/>
      </w:r>
      <w:r>
        <w:rPr>
          <w:rStyle w:val="18"/>
          <w:rFonts w:hint="eastAsia" w:hAnsi="宋体"/>
        </w:rPr>
        <w:t>第六章.</w:t>
      </w:r>
      <w:r>
        <w:rPr>
          <w:rFonts w:ascii="Calibri" w:hAnsi="Calibri"/>
          <w:sz w:val="21"/>
        </w:rPr>
        <w:tab/>
      </w:r>
      <w:r>
        <w:rPr>
          <w:rStyle w:val="18"/>
          <w:rFonts w:hint="eastAsia" w:hAnsi="宋体"/>
        </w:rPr>
        <w:t>其他</w:t>
      </w:r>
      <w:r>
        <w:tab/>
      </w:r>
      <w:r>
        <w:fldChar w:fldCharType="begin"/>
      </w:r>
      <w:r>
        <w:instrText xml:space="preserve"> PAGEREF _Toc405278785 \h </w:instrText>
      </w:r>
      <w:r>
        <w:fldChar w:fldCharType="separate"/>
      </w:r>
      <w:r>
        <w:t>- 12 -</w:t>
      </w:r>
      <w:r>
        <w:fldChar w:fldCharType="end"/>
      </w:r>
      <w:r>
        <w:fldChar w:fldCharType="end"/>
      </w:r>
    </w:p>
    <w:p>
      <w:pPr>
        <w:pStyle w:val="13"/>
        <w:tabs>
          <w:tab w:val="left" w:pos="1680"/>
          <w:tab w:val="right" w:leader="dot" w:pos="8296"/>
        </w:tabs>
        <w:rPr>
          <w:sz w:val="21"/>
        </w:rPr>
      </w:pPr>
      <w:r>
        <w:fldChar w:fldCharType="begin"/>
      </w:r>
      <w:r>
        <w:instrText xml:space="preserve"> HYPERLINK \l "_Toc405278786" </w:instrText>
      </w:r>
      <w:r>
        <w:fldChar w:fldCharType="separate"/>
      </w:r>
      <w:r>
        <w:rPr>
          <w:rStyle w:val="18"/>
          <w:rFonts w:hint="eastAsia" w:ascii="宋体" w:hAnsi="宋体"/>
        </w:rPr>
        <w:t>第十七条</w:t>
      </w:r>
      <w:r>
        <w:rPr>
          <w:sz w:val="21"/>
        </w:rPr>
        <w:tab/>
      </w:r>
      <w:r>
        <w:rPr>
          <w:rStyle w:val="18"/>
          <w:rFonts w:hint="eastAsia" w:ascii="宋体" w:hAnsi="宋体"/>
        </w:rPr>
        <w:t>违约责任</w:t>
      </w:r>
      <w:r>
        <w:tab/>
      </w:r>
      <w:r>
        <w:fldChar w:fldCharType="begin"/>
      </w:r>
      <w:r>
        <w:instrText xml:space="preserve"> PAGEREF _Toc405278786 \h </w:instrText>
      </w:r>
      <w:r>
        <w:fldChar w:fldCharType="separate"/>
      </w:r>
      <w:r>
        <w:t>- 12 -</w:t>
      </w:r>
      <w:r>
        <w:fldChar w:fldCharType="end"/>
      </w:r>
      <w:r>
        <w:fldChar w:fldCharType="end"/>
      </w:r>
    </w:p>
    <w:p>
      <w:pPr>
        <w:pStyle w:val="13"/>
        <w:tabs>
          <w:tab w:val="left" w:pos="1680"/>
          <w:tab w:val="right" w:leader="dot" w:pos="8296"/>
        </w:tabs>
        <w:rPr>
          <w:sz w:val="21"/>
        </w:rPr>
      </w:pPr>
      <w:r>
        <w:fldChar w:fldCharType="begin"/>
      </w:r>
      <w:r>
        <w:instrText xml:space="preserve"> HYPERLINK \l "_Toc405278787" </w:instrText>
      </w:r>
      <w:r>
        <w:fldChar w:fldCharType="separate"/>
      </w:r>
      <w:r>
        <w:rPr>
          <w:rStyle w:val="18"/>
          <w:rFonts w:hint="eastAsia" w:ascii="宋体" w:hAnsi="宋体"/>
        </w:rPr>
        <w:t>第十八条</w:t>
      </w:r>
      <w:r>
        <w:rPr>
          <w:sz w:val="21"/>
        </w:rPr>
        <w:tab/>
      </w:r>
      <w:r>
        <w:rPr>
          <w:rStyle w:val="18"/>
          <w:rFonts w:hint="eastAsia" w:ascii="宋体" w:hAnsi="宋体"/>
        </w:rPr>
        <w:t>保密条款</w:t>
      </w:r>
      <w:r>
        <w:tab/>
      </w:r>
      <w:r>
        <w:fldChar w:fldCharType="begin"/>
      </w:r>
      <w:r>
        <w:instrText xml:space="preserve"> PAGEREF _Toc405278787 \h </w:instrText>
      </w:r>
      <w:r>
        <w:fldChar w:fldCharType="separate"/>
      </w:r>
      <w:r>
        <w:t>- 12 -</w:t>
      </w:r>
      <w:r>
        <w:fldChar w:fldCharType="end"/>
      </w:r>
      <w:r>
        <w:fldChar w:fldCharType="end"/>
      </w:r>
    </w:p>
    <w:p>
      <w:pPr>
        <w:pStyle w:val="13"/>
        <w:tabs>
          <w:tab w:val="left" w:pos="1680"/>
          <w:tab w:val="right" w:leader="dot" w:pos="8296"/>
        </w:tabs>
        <w:rPr>
          <w:sz w:val="21"/>
        </w:rPr>
      </w:pPr>
      <w:r>
        <w:fldChar w:fldCharType="begin"/>
      </w:r>
      <w:r>
        <w:instrText xml:space="preserve"> HYPERLINK \l "_Toc405278788" </w:instrText>
      </w:r>
      <w:r>
        <w:fldChar w:fldCharType="separate"/>
      </w:r>
      <w:r>
        <w:rPr>
          <w:rStyle w:val="18"/>
          <w:rFonts w:hint="eastAsia" w:ascii="宋体" w:hAnsi="宋体"/>
        </w:rPr>
        <w:t>第十九条</w:t>
      </w:r>
      <w:r>
        <w:rPr>
          <w:sz w:val="21"/>
        </w:rPr>
        <w:tab/>
      </w:r>
      <w:r>
        <w:rPr>
          <w:rStyle w:val="18"/>
          <w:rFonts w:hint="eastAsia" w:ascii="宋体" w:hAnsi="宋体"/>
        </w:rPr>
        <w:t>变更或解除</w:t>
      </w:r>
      <w:r>
        <w:tab/>
      </w:r>
      <w:r>
        <w:fldChar w:fldCharType="begin"/>
      </w:r>
      <w:r>
        <w:instrText xml:space="preserve"> PAGEREF _Toc405278788 \h </w:instrText>
      </w:r>
      <w:r>
        <w:fldChar w:fldCharType="separate"/>
      </w:r>
      <w:r>
        <w:t>- 13 -</w:t>
      </w:r>
      <w:r>
        <w:fldChar w:fldCharType="end"/>
      </w:r>
      <w:r>
        <w:fldChar w:fldCharType="end"/>
      </w:r>
    </w:p>
    <w:p>
      <w:pPr>
        <w:pStyle w:val="13"/>
        <w:tabs>
          <w:tab w:val="left" w:pos="1680"/>
          <w:tab w:val="right" w:leader="dot" w:pos="8296"/>
        </w:tabs>
        <w:rPr>
          <w:sz w:val="21"/>
        </w:rPr>
      </w:pPr>
      <w:r>
        <w:fldChar w:fldCharType="begin"/>
      </w:r>
      <w:r>
        <w:instrText xml:space="preserve"> HYPERLINK \l "_Toc405278789" </w:instrText>
      </w:r>
      <w:r>
        <w:fldChar w:fldCharType="separate"/>
      </w:r>
      <w:r>
        <w:rPr>
          <w:rStyle w:val="18"/>
          <w:rFonts w:hint="eastAsia" w:ascii="宋体" w:hAnsi="宋体"/>
        </w:rPr>
        <w:t>第二十条</w:t>
      </w:r>
      <w:r>
        <w:rPr>
          <w:sz w:val="21"/>
        </w:rPr>
        <w:tab/>
      </w:r>
      <w:r>
        <w:rPr>
          <w:rStyle w:val="18"/>
          <w:rFonts w:hint="eastAsia" w:ascii="宋体" w:hAnsi="宋体"/>
        </w:rPr>
        <w:t>适用法律及争议解决</w:t>
      </w:r>
      <w:r>
        <w:tab/>
      </w:r>
      <w:r>
        <w:fldChar w:fldCharType="begin"/>
      </w:r>
      <w:r>
        <w:instrText xml:space="preserve"> PAGEREF _Toc405278789 \h </w:instrText>
      </w:r>
      <w:r>
        <w:fldChar w:fldCharType="separate"/>
      </w:r>
      <w:r>
        <w:t>- 13 -</w:t>
      </w:r>
      <w:r>
        <w:fldChar w:fldCharType="end"/>
      </w:r>
      <w:r>
        <w:fldChar w:fldCharType="end"/>
      </w:r>
    </w:p>
    <w:p>
      <w:pPr>
        <w:pStyle w:val="13"/>
        <w:tabs>
          <w:tab w:val="left" w:pos="1835"/>
          <w:tab w:val="right" w:leader="dot" w:pos="8296"/>
        </w:tabs>
        <w:rPr>
          <w:sz w:val="21"/>
        </w:rPr>
      </w:pPr>
      <w:r>
        <w:fldChar w:fldCharType="begin"/>
      </w:r>
      <w:r>
        <w:instrText xml:space="preserve"> HYPERLINK \l "_Toc405278790" </w:instrText>
      </w:r>
      <w:r>
        <w:fldChar w:fldCharType="separate"/>
      </w:r>
      <w:r>
        <w:rPr>
          <w:rStyle w:val="18"/>
          <w:rFonts w:hint="eastAsia" w:ascii="宋体" w:hAnsi="宋体"/>
        </w:rPr>
        <w:t>第二十一条</w:t>
      </w:r>
      <w:r>
        <w:rPr>
          <w:sz w:val="21"/>
        </w:rPr>
        <w:tab/>
      </w:r>
      <w:r>
        <w:rPr>
          <w:rStyle w:val="18"/>
          <w:rFonts w:hint="eastAsia" w:ascii="宋体" w:hAnsi="宋体"/>
        </w:rPr>
        <w:t>附则</w:t>
      </w:r>
      <w:r>
        <w:tab/>
      </w:r>
      <w:r>
        <w:fldChar w:fldCharType="begin"/>
      </w:r>
      <w:r>
        <w:instrText xml:space="preserve"> PAGEREF _Toc405278790 \h </w:instrText>
      </w:r>
      <w:r>
        <w:fldChar w:fldCharType="separate"/>
      </w:r>
      <w:r>
        <w:t>- 13 -</w:t>
      </w:r>
      <w:r>
        <w:fldChar w:fldCharType="end"/>
      </w:r>
      <w:r>
        <w:fldChar w:fldCharType="end"/>
      </w:r>
    </w:p>
    <w:p>
      <w:pPr>
        <w:jc w:val="center"/>
        <w:rPr>
          <w:rFonts w:ascii="Times New Roman" w:hAnsi="Times New Roman"/>
          <w:kern w:val="36"/>
          <w:sz w:val="28"/>
          <w:szCs w:val="28"/>
        </w:rPr>
      </w:pPr>
      <w:r>
        <w:rPr>
          <w:rFonts w:ascii="Cambria" w:hAnsi="Cambria"/>
          <w:bCs/>
          <w:kern w:val="36"/>
          <w:sz w:val="24"/>
          <w:szCs w:val="24"/>
          <w:u w:val="single"/>
        </w:rPr>
        <w:fldChar w:fldCharType="end"/>
      </w: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ascii="Times New Roman" w:hAnsi="Times New Roman"/>
          <w:b/>
          <w:kern w:val="36"/>
          <w:sz w:val="28"/>
          <w:szCs w:val="28"/>
        </w:rPr>
      </w:pPr>
    </w:p>
    <w:p>
      <w:pPr>
        <w:jc w:val="center"/>
        <w:rPr>
          <w:rFonts w:hAnsi="Times New Roman"/>
          <w:b/>
          <w:sz w:val="28"/>
          <w:szCs w:val="28"/>
        </w:rPr>
      </w:pPr>
      <w:r>
        <w:rPr>
          <w:b/>
          <w:sz w:val="28"/>
          <w:szCs w:val="28"/>
        </w:rPr>
        <w:t>增资协议</w:t>
      </w:r>
    </w:p>
    <w:p>
      <w:pPr>
        <w:jc w:val="center"/>
        <w:rPr>
          <w:rFonts w:ascii="Times New Roman" w:hAnsi="Times New Roman"/>
          <w:sz w:val="24"/>
          <w:szCs w:val="24"/>
        </w:rPr>
      </w:pPr>
    </w:p>
    <w:p>
      <w:pPr>
        <w:widowControl/>
        <w:spacing w:line="360" w:lineRule="auto"/>
        <w:ind w:firstLine="482" w:firstLineChars="200"/>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于［</w:t>
      </w:r>
      <w:r>
        <w:rPr>
          <w:rFonts w:ascii="Times New Roman" w:hAnsi="Times New Roman"/>
          <w:sz w:val="24"/>
          <w:szCs w:val="24"/>
        </w:rPr>
        <w:t>20</w:t>
      </w:r>
      <w:r>
        <w:rPr>
          <w:rFonts w:hint="eastAsia" w:ascii="Times New Roman" w:hAnsi="Times New Roman"/>
          <w:sz w:val="24"/>
          <w:szCs w:val="24"/>
          <w:lang w:val="en-US" w:eastAsia="zh-CN"/>
        </w:rPr>
        <w:t>XX</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］日由以下各方签署：</w:t>
      </w:r>
    </w:p>
    <w:p>
      <w:pPr>
        <w:rPr>
          <w:rFonts w:ascii="Times New Roman" w:hAnsi="Times New Roman"/>
          <w:sz w:val="24"/>
          <w:szCs w:val="24"/>
        </w:rPr>
      </w:pPr>
    </w:p>
    <w:p>
      <w:pPr>
        <w:pStyle w:val="20"/>
        <w:tabs>
          <w:tab w:val="center" w:pos="4384"/>
        </w:tabs>
        <w:spacing w:line="360" w:lineRule="auto"/>
        <w:ind w:firstLine="480"/>
        <w:rPr>
          <w:rFonts w:ascii="Times New Roman" w:hAnsi="宋体"/>
          <w:sz w:val="24"/>
          <w:szCs w:val="24"/>
        </w:rPr>
      </w:pPr>
      <w:r>
        <w:rPr>
          <w:rFonts w:ascii="Times New Roman" w:hAnsi="宋体"/>
          <w:sz w:val="24"/>
          <w:szCs w:val="24"/>
        </w:rPr>
        <w:t>被投资公司</w:t>
      </w:r>
      <w:r>
        <w:rPr>
          <w:rFonts w:ascii="Times New Roman" w:hAnsi="宋体"/>
          <w:b/>
          <w:sz w:val="24"/>
          <w:szCs w:val="24"/>
        </w:rPr>
        <w:t>（</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公司</w:t>
      </w:r>
      <w:r>
        <w:rPr>
          <w:rFonts w:ascii="Times New Roman" w:hAnsi="Times New Roman"/>
          <w:b/>
          <w:sz w:val="24"/>
          <w:szCs w:val="24"/>
        </w:rPr>
        <w:t>”</w:t>
      </w:r>
      <w:r>
        <w:rPr>
          <w:rFonts w:ascii="Times New Roman" w:hAnsi="宋体"/>
          <w:b/>
          <w:sz w:val="24"/>
          <w:szCs w:val="24"/>
        </w:rPr>
        <w:t>）：</w:t>
      </w:r>
      <w:r>
        <w:rPr>
          <w:rFonts w:ascii="Times New Roman" w:hAnsi="Times New Roman"/>
          <w:b/>
          <w:sz w:val="24"/>
          <w:szCs w:val="24"/>
        </w:rPr>
        <w:tab/>
      </w:r>
      <w:r>
        <w:rPr>
          <w:rFonts w:hint="eastAsia" w:ascii="Times New Roman" w:hAnsi="宋体"/>
          <w:b/>
          <w:sz w:val="24"/>
          <w:szCs w:val="24"/>
        </w:rPr>
        <w:t>[XXX]科技</w:t>
      </w:r>
      <w:r>
        <w:rPr>
          <w:rFonts w:ascii="Times New Roman" w:hAnsi="宋体"/>
          <w:b/>
          <w:sz w:val="24"/>
          <w:szCs w:val="24"/>
        </w:rPr>
        <w:t>有限公司</w:t>
      </w:r>
    </w:p>
    <w:p>
      <w:pPr>
        <w:pStyle w:val="20"/>
        <w:tabs>
          <w:tab w:val="center" w:pos="4384"/>
        </w:tabs>
        <w:spacing w:line="360" w:lineRule="auto"/>
        <w:ind w:left="420" w:leftChars="200" w:firstLine="0" w:firstLineChars="0"/>
        <w:rPr>
          <w:rFonts w:ascii="Times New Roman" w:hAnsi="Times New Roman"/>
          <w:sz w:val="24"/>
          <w:szCs w:val="24"/>
        </w:rPr>
      </w:pPr>
      <w:r>
        <w:rPr>
          <w:rFonts w:ascii="Times New Roman" w:hAnsi="宋体"/>
          <w:sz w:val="24"/>
          <w:szCs w:val="24"/>
        </w:rPr>
        <w:t>住所地</w:t>
      </w:r>
      <w:r>
        <w:rPr>
          <w:rFonts w:hint="eastAsia" w:ascii="Times New Roman" w:hAnsi="宋体"/>
          <w:sz w:val="24"/>
          <w:szCs w:val="24"/>
        </w:rPr>
        <w:t>：</w:t>
      </w:r>
      <w:r>
        <w:rPr>
          <w:rFonts w:ascii="Times New Roman" w:hAnsi="Times New Roman"/>
          <w:sz w:val="24"/>
          <w:szCs w:val="24"/>
        </w:rPr>
        <w:t xml:space="preserve"> </w:t>
      </w:r>
    </w:p>
    <w:p>
      <w:pPr>
        <w:pStyle w:val="20"/>
        <w:tabs>
          <w:tab w:val="center" w:pos="4384"/>
        </w:tabs>
        <w:spacing w:line="360" w:lineRule="auto"/>
        <w:ind w:left="420" w:leftChars="200" w:firstLine="0" w:firstLineChars="0"/>
        <w:rPr>
          <w:rFonts w:ascii="Times New Roman" w:hAnsi="Times New Roman"/>
          <w:sz w:val="24"/>
          <w:szCs w:val="24"/>
        </w:rPr>
      </w:pPr>
      <w:r>
        <w:rPr>
          <w:rFonts w:ascii="Times New Roman" w:hAnsi="宋体"/>
          <w:sz w:val="24"/>
          <w:szCs w:val="24"/>
        </w:rPr>
        <w:t>注册资本</w:t>
      </w:r>
      <w:r>
        <w:rPr>
          <w:rFonts w:hint="eastAsia" w:ascii="Times New Roman" w:hAnsi="宋体"/>
          <w:sz w:val="24"/>
          <w:szCs w:val="24"/>
        </w:rPr>
        <w:t>：100万元人民币</w:t>
      </w:r>
      <w:r>
        <w:rPr>
          <w:rFonts w:ascii="Times New Roman" w:hAnsi="Times New Roman"/>
          <w:sz w:val="24"/>
          <w:szCs w:val="24"/>
        </w:rPr>
        <w:t xml:space="preserve">    </w:t>
      </w:r>
    </w:p>
    <w:p>
      <w:pPr>
        <w:pStyle w:val="20"/>
        <w:tabs>
          <w:tab w:val="center" w:pos="4384"/>
        </w:tabs>
        <w:spacing w:line="360" w:lineRule="auto"/>
        <w:ind w:left="420" w:leftChars="200" w:firstLine="0" w:firstLineChars="0"/>
        <w:rPr>
          <w:rFonts w:ascii="Times New Roman" w:hAnsi="宋体"/>
          <w:sz w:val="24"/>
          <w:szCs w:val="24"/>
        </w:rPr>
      </w:pPr>
      <w:r>
        <w:rPr>
          <w:rFonts w:ascii="Times New Roman" w:hAnsi="宋体"/>
          <w:sz w:val="24"/>
          <w:szCs w:val="24"/>
        </w:rPr>
        <w:t>法定代表人</w:t>
      </w:r>
      <w:r>
        <w:rPr>
          <w:rFonts w:hint="eastAsia" w:ascii="Times New Roman" w:hAnsi="宋体"/>
          <w:sz w:val="24"/>
          <w:szCs w:val="24"/>
        </w:rPr>
        <w:t>：[XXX]</w:t>
      </w:r>
    </w:p>
    <w:p>
      <w:pPr>
        <w:pStyle w:val="20"/>
        <w:tabs>
          <w:tab w:val="center" w:pos="4384"/>
        </w:tabs>
        <w:spacing w:line="360" w:lineRule="auto"/>
        <w:ind w:left="420" w:leftChars="200" w:firstLine="0" w:firstLineChars="0"/>
        <w:rPr>
          <w:rFonts w:ascii="Times New Roman" w:hAnsi="Times New Roman"/>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创始人股东（</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创始人</w:t>
      </w:r>
      <w:r>
        <w:rPr>
          <w:rFonts w:ascii="Times New Roman" w:hAnsi="Times New Roman"/>
          <w:b/>
          <w:sz w:val="24"/>
          <w:szCs w:val="24"/>
        </w:rPr>
        <w:t>”</w:t>
      </w:r>
      <w:r>
        <w:rPr>
          <w:rFonts w:ascii="Times New Roman" w:hAnsi="宋体"/>
          <w:b/>
          <w:sz w:val="24"/>
          <w:szCs w:val="24"/>
        </w:rPr>
        <w:t>）：</w:t>
      </w:r>
    </w:p>
    <w:p>
      <w:pPr>
        <w:pStyle w:val="20"/>
        <w:spacing w:line="360" w:lineRule="auto"/>
        <w:ind w:left="480" w:firstLine="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spacing w:line="360" w:lineRule="auto"/>
        <w:ind w:firstLine="480"/>
        <w:rPr>
          <w:rFonts w:ascii="Times New Roman" w:hAnsi="宋体"/>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非创始人股东：</w:t>
      </w:r>
    </w:p>
    <w:p>
      <w:pPr>
        <w:pStyle w:val="20"/>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spacing w:line="360" w:lineRule="auto"/>
        <w:ind w:firstLine="480"/>
        <w:rPr>
          <w:rFonts w:ascii="Times New Roman" w:hAnsi="宋体"/>
          <w:b/>
          <w:sz w:val="24"/>
          <w:szCs w:val="24"/>
        </w:rPr>
      </w:pPr>
      <w:r>
        <w:rPr>
          <w:rFonts w:hint="eastAsia" w:ascii="Times New Roman" w:hAnsi="宋体"/>
          <w:b/>
          <w:sz w:val="24"/>
          <w:szCs w:val="24"/>
        </w:rPr>
        <w:t>（</w:t>
      </w:r>
      <w:r>
        <w:rPr>
          <w:rFonts w:hint="eastAsia" w:ascii="Times New Roman" w:hAnsi="宋体"/>
          <w:sz w:val="24"/>
          <w:szCs w:val="24"/>
        </w:rPr>
        <w:t>上述</w:t>
      </w:r>
      <w:r>
        <w:rPr>
          <w:rFonts w:hint="eastAsia" w:ascii="Times New Roman" w:hAnsi="宋体"/>
          <w:b/>
          <w:sz w:val="24"/>
          <w:szCs w:val="24"/>
        </w:rPr>
        <w:t>创始人股东</w:t>
      </w:r>
      <w:r>
        <w:rPr>
          <w:rFonts w:hint="eastAsia" w:ascii="Times New Roman" w:hAnsi="宋体"/>
          <w:sz w:val="24"/>
          <w:szCs w:val="24"/>
        </w:rPr>
        <w:t>和</w:t>
      </w:r>
      <w:r>
        <w:rPr>
          <w:rFonts w:hint="eastAsia" w:ascii="Times New Roman" w:hAnsi="宋体"/>
          <w:b/>
          <w:sz w:val="24"/>
          <w:szCs w:val="24"/>
        </w:rPr>
        <w:t>非创始人股东</w:t>
      </w:r>
      <w:r>
        <w:rPr>
          <w:rFonts w:hint="eastAsia" w:ascii="Times New Roman" w:hAnsi="宋体"/>
          <w:sz w:val="24"/>
          <w:szCs w:val="24"/>
        </w:rPr>
        <w:t>合称为</w:t>
      </w:r>
      <w:r>
        <w:rPr>
          <w:rFonts w:hint="eastAsia" w:ascii="Times New Roman" w:hAnsi="宋体"/>
          <w:b/>
          <w:sz w:val="24"/>
          <w:szCs w:val="24"/>
        </w:rPr>
        <w:t>“现有股东”）</w:t>
      </w:r>
    </w:p>
    <w:p>
      <w:pPr>
        <w:pStyle w:val="20"/>
        <w:spacing w:line="360" w:lineRule="auto"/>
        <w:ind w:firstLine="480"/>
        <w:rPr>
          <w:rFonts w:ascii="Times New Roman" w:hAnsi="宋体"/>
          <w:b/>
          <w:sz w:val="24"/>
          <w:szCs w:val="24"/>
        </w:rPr>
      </w:pPr>
    </w:p>
    <w:p>
      <w:pPr>
        <w:pStyle w:val="20"/>
        <w:spacing w:line="360" w:lineRule="auto"/>
        <w:ind w:firstLine="480"/>
        <w:rPr>
          <w:rFonts w:ascii="Times New Roman" w:hAnsi="Times New Roman"/>
          <w:b/>
          <w:sz w:val="24"/>
          <w:szCs w:val="24"/>
        </w:rPr>
      </w:pPr>
      <w:r>
        <w:rPr>
          <w:rFonts w:ascii="Times New Roman" w:hAnsi="宋体"/>
          <w:b/>
          <w:sz w:val="24"/>
          <w:szCs w:val="24"/>
        </w:rPr>
        <w:t>投资人：</w:t>
      </w:r>
    </w:p>
    <w:p>
      <w:pPr>
        <w:pStyle w:val="20"/>
        <w:numPr>
          <w:ilvl w:val="0"/>
          <w:numId w:val="5"/>
        </w:numPr>
        <w:spacing w:line="360" w:lineRule="auto"/>
        <w:ind w:hanging="25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pStyle w:val="20"/>
        <w:numPr>
          <w:ilvl w:val="0"/>
          <w:numId w:val="5"/>
        </w:numPr>
        <w:spacing w:line="360" w:lineRule="auto"/>
        <w:ind w:hanging="250" w:firstLineChars="0"/>
        <w:rPr>
          <w:rFonts w:ascii="Times New Roman" w:hAnsi="Times New Roman"/>
          <w:sz w:val="24"/>
          <w:szCs w:val="24"/>
        </w:rPr>
      </w:pPr>
      <w:r>
        <w:rPr>
          <w:rFonts w:ascii="Times New Roman" w:hAnsi="宋体"/>
          <w:sz w:val="24"/>
          <w:szCs w:val="24"/>
        </w:rPr>
        <w:t>姓名</w:t>
      </w:r>
      <w:r>
        <w:rPr>
          <w:rFonts w:hint="eastAsia" w:ascii="Times New Roman" w:hAnsi="宋体"/>
          <w:sz w:val="24"/>
          <w:szCs w:val="24"/>
        </w:rPr>
        <w:t>：</w:t>
      </w:r>
      <w:r>
        <w:rPr>
          <w:rFonts w:hint="eastAsia" w:ascii="Times New Roman" w:hAnsi="Times New Roman"/>
          <w:sz w:val="24"/>
          <w:szCs w:val="24"/>
        </w:rPr>
        <w:t>[XXX]</w:t>
      </w:r>
      <w:r>
        <w:rPr>
          <w:rFonts w:ascii="Times New Roman" w:hAnsi="宋体"/>
          <w:sz w:val="24"/>
          <w:szCs w:val="24"/>
        </w:rPr>
        <w:t>，身份证号</w:t>
      </w:r>
      <w:r>
        <w:rPr>
          <w:rFonts w:hint="eastAsia"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hint="eastAsia" w:ascii="Times New Roman" w:hAnsi="Times New Roman"/>
          <w:sz w:val="24"/>
          <w:szCs w:val="24"/>
        </w:rPr>
        <w:t>]</w:t>
      </w:r>
      <w:r>
        <w:rPr>
          <w:rFonts w:ascii="Times New Roman" w:hAnsi="宋体"/>
          <w:sz w:val="24"/>
          <w:szCs w:val="24"/>
        </w:rPr>
        <w:t>；</w:t>
      </w:r>
    </w:p>
    <w:p>
      <w:pPr>
        <w:spacing w:line="360" w:lineRule="auto"/>
        <w:rPr>
          <w:rFonts w:ascii="Times New Roman" w:hAnsi="Times New Roman"/>
          <w:sz w:val="24"/>
          <w:szCs w:val="24"/>
        </w:rPr>
      </w:pPr>
    </w:p>
    <w:p>
      <w:pPr>
        <w:pStyle w:val="20"/>
        <w:spacing w:line="360" w:lineRule="auto"/>
        <w:ind w:firstLine="480"/>
        <w:rPr>
          <w:rFonts w:ascii="Times New Roman" w:hAnsi="Times New Roman"/>
          <w:sz w:val="24"/>
          <w:szCs w:val="24"/>
        </w:rPr>
      </w:pPr>
      <w:r>
        <w:rPr>
          <w:rFonts w:ascii="Times New Roman" w:hAnsi="宋体"/>
          <w:sz w:val="24"/>
          <w:szCs w:val="24"/>
        </w:rPr>
        <w:t>以上各方经充分协商，根据《中华人民共和国公司法》、《中华人民共和国合同法》及相关法律法规的规定，就</w:t>
      </w:r>
      <w:r>
        <w:rPr>
          <w:rFonts w:ascii="Times New Roman" w:hAnsi="宋体"/>
          <w:b/>
          <w:sz w:val="24"/>
          <w:szCs w:val="24"/>
        </w:rPr>
        <w:t>投资人</w:t>
      </w:r>
      <w:r>
        <w:rPr>
          <w:rFonts w:ascii="Times New Roman" w:hAnsi="宋体"/>
          <w:sz w:val="24"/>
          <w:szCs w:val="24"/>
        </w:rPr>
        <w:t>向</w:t>
      </w:r>
      <w:r>
        <w:rPr>
          <w:rFonts w:ascii="Times New Roman" w:hAnsi="宋体"/>
          <w:b/>
          <w:sz w:val="24"/>
          <w:szCs w:val="24"/>
        </w:rPr>
        <w:t>公司</w:t>
      </w:r>
      <w:r>
        <w:rPr>
          <w:rFonts w:ascii="Times New Roman" w:hAnsi="宋体"/>
          <w:sz w:val="24"/>
          <w:szCs w:val="24"/>
        </w:rPr>
        <w:t>增资及相关事宜达成以下协议，以兹共同遵照执行。</w:t>
      </w:r>
    </w:p>
    <w:p>
      <w:pPr>
        <w:pStyle w:val="2"/>
        <w:numPr>
          <w:ilvl w:val="0"/>
          <w:numId w:val="6"/>
        </w:numPr>
        <w:jc w:val="center"/>
        <w:rPr>
          <w:rFonts w:ascii="Times New Roman" w:hAnsi="Times New Roman"/>
          <w:sz w:val="24"/>
          <w:szCs w:val="24"/>
        </w:rPr>
      </w:pPr>
      <w:r>
        <w:rPr>
          <w:rFonts w:hint="eastAsia" w:ascii="Times New Roman" w:hAnsi="宋体"/>
          <w:sz w:val="24"/>
          <w:szCs w:val="24"/>
        </w:rPr>
        <w:t xml:space="preserve"> </w:t>
      </w:r>
      <w:bookmarkStart w:id="2" w:name="_Toc405278764"/>
      <w:r>
        <w:rPr>
          <w:rFonts w:ascii="Times New Roman" w:hAnsi="宋体"/>
          <w:sz w:val="24"/>
          <w:szCs w:val="24"/>
        </w:rPr>
        <w:t>增资</w:t>
      </w:r>
      <w:bookmarkEnd w:id="2"/>
    </w:p>
    <w:p>
      <w:pPr>
        <w:pStyle w:val="3"/>
        <w:numPr>
          <w:ilvl w:val="1"/>
          <w:numId w:val="7"/>
        </w:numPr>
        <w:rPr>
          <w:rFonts w:ascii="宋体" w:hAnsi="宋体" w:eastAsia="宋体"/>
          <w:b/>
        </w:rPr>
      </w:pPr>
      <w:bookmarkStart w:id="3" w:name="_Toc405278765"/>
      <w:r>
        <w:rPr>
          <w:rFonts w:ascii="宋体" w:hAnsi="宋体" w:eastAsia="宋体"/>
          <w:b/>
        </w:rPr>
        <w:t>增资与认购</w:t>
      </w:r>
      <w:bookmarkEnd w:id="3"/>
    </w:p>
    <w:p>
      <w:pPr>
        <w:rPr>
          <w:rFonts w:ascii="Times New Roman" w:hAnsi="Times New Roman"/>
          <w:sz w:val="24"/>
          <w:szCs w:val="24"/>
        </w:rPr>
      </w:pPr>
    </w:p>
    <w:p>
      <w:pPr>
        <w:pStyle w:val="20"/>
        <w:numPr>
          <w:ilvl w:val="1"/>
          <w:numId w:val="8"/>
        </w:numPr>
        <w:tabs>
          <w:tab w:val="left" w:pos="851"/>
        </w:tabs>
        <w:spacing w:line="440" w:lineRule="exact"/>
        <w:ind w:left="851" w:hanging="397" w:firstLineChars="0"/>
        <w:rPr>
          <w:rFonts w:ascii="Times New Roman" w:hAnsi="Times New Roman"/>
          <w:b/>
          <w:sz w:val="24"/>
          <w:szCs w:val="24"/>
        </w:rPr>
      </w:pPr>
      <w:r>
        <w:rPr>
          <w:rFonts w:ascii="Times New Roman" w:hAnsi="宋体"/>
          <w:b/>
          <w:sz w:val="24"/>
          <w:szCs w:val="24"/>
        </w:rPr>
        <w:t>增资方式</w:t>
      </w:r>
    </w:p>
    <w:p>
      <w:pPr>
        <w:rPr>
          <w:rFonts w:ascii="Times New Roman" w:hAnsi="Times New Roman"/>
          <w:sz w:val="24"/>
          <w:szCs w:val="24"/>
        </w:rPr>
      </w:pPr>
    </w:p>
    <w:p>
      <w:pPr>
        <w:pStyle w:val="20"/>
        <w:spacing w:line="440" w:lineRule="exact"/>
        <w:ind w:left="851" w:firstLine="0" w:firstLineChars="0"/>
        <w:rPr>
          <w:rFonts w:ascii="Times New Roman" w:hAnsi="宋体"/>
          <w:sz w:val="24"/>
          <w:szCs w:val="24"/>
        </w:rPr>
      </w:pPr>
      <w:r>
        <w:rPr>
          <w:rFonts w:ascii="Times New Roman" w:hAnsi="宋体"/>
          <w:b/>
          <w:sz w:val="24"/>
          <w:szCs w:val="24"/>
        </w:rPr>
        <w:t>投资人</w:t>
      </w:r>
      <w:r>
        <w:rPr>
          <w:rFonts w:ascii="Times New Roman" w:hAnsi="宋体"/>
          <w:sz w:val="24"/>
          <w:szCs w:val="24"/>
        </w:rPr>
        <w:t>以</w:t>
      </w:r>
      <w:r>
        <w:rPr>
          <w:rFonts w:hint="eastAsia" w:ascii="Times New Roman" w:hAnsi="宋体"/>
          <w:sz w:val="24"/>
          <w:szCs w:val="24"/>
        </w:rPr>
        <w:t>人民币1000万元的投资后估值，对</w:t>
      </w:r>
      <w:r>
        <w:rPr>
          <w:rFonts w:hint="eastAsia" w:ascii="Times New Roman" w:hAnsi="宋体"/>
          <w:b/>
          <w:sz w:val="24"/>
          <w:szCs w:val="24"/>
        </w:rPr>
        <w:t>公司</w:t>
      </w:r>
      <w:r>
        <w:rPr>
          <w:rFonts w:ascii="Times New Roman" w:hAnsi="宋体"/>
          <w:sz w:val="24"/>
          <w:szCs w:val="24"/>
        </w:rPr>
        <w:t>投资人民币</w:t>
      </w:r>
      <w:r>
        <w:rPr>
          <w:rFonts w:hint="eastAsia" w:ascii="Times New Roman" w:hAnsi="宋体"/>
          <w:sz w:val="24"/>
          <w:szCs w:val="24"/>
        </w:rPr>
        <w:t>100</w:t>
      </w:r>
      <w:r>
        <w:rPr>
          <w:rFonts w:ascii="Times New Roman" w:hAnsi="宋体"/>
          <w:sz w:val="24"/>
          <w:szCs w:val="24"/>
        </w:rPr>
        <w:t>万元（简称</w:t>
      </w:r>
      <w:r>
        <w:rPr>
          <w:rFonts w:ascii="Times New Roman" w:hAnsi="Times New Roman"/>
          <w:sz w:val="24"/>
          <w:szCs w:val="24"/>
        </w:rPr>
        <w:t>“</w:t>
      </w:r>
      <w:r>
        <w:rPr>
          <w:rFonts w:ascii="Times New Roman" w:hAnsi="宋体"/>
          <w:b/>
          <w:sz w:val="24"/>
          <w:szCs w:val="24"/>
        </w:rPr>
        <w:t>投资款</w:t>
      </w:r>
      <w:r>
        <w:rPr>
          <w:rFonts w:ascii="Times New Roman" w:hAnsi="Times New Roman"/>
          <w:sz w:val="24"/>
          <w:szCs w:val="24"/>
        </w:rPr>
        <w:t>”</w:t>
      </w:r>
      <w:r>
        <w:rPr>
          <w:rFonts w:ascii="Times New Roman" w:hAnsi="宋体"/>
          <w:sz w:val="24"/>
          <w:szCs w:val="24"/>
        </w:rPr>
        <w:t>）</w:t>
      </w:r>
      <w:r>
        <w:rPr>
          <w:rFonts w:hint="eastAsia" w:ascii="Times New Roman" w:hAnsi="宋体"/>
          <w:sz w:val="24"/>
          <w:szCs w:val="24"/>
        </w:rPr>
        <w:t>进行</w:t>
      </w:r>
      <w:r>
        <w:rPr>
          <w:rFonts w:ascii="Times New Roman" w:hAnsi="宋体"/>
          <w:sz w:val="24"/>
          <w:szCs w:val="24"/>
        </w:rPr>
        <w:t>溢价增资（简称</w:t>
      </w:r>
      <w:r>
        <w:rPr>
          <w:rFonts w:ascii="Times New Roman" w:hAnsi="Times New Roman"/>
          <w:sz w:val="24"/>
          <w:szCs w:val="24"/>
        </w:rPr>
        <w:t>“</w:t>
      </w:r>
      <w:r>
        <w:rPr>
          <w:rFonts w:hint="eastAsia" w:ascii="Times New Roman" w:hAnsi="宋体"/>
          <w:b/>
          <w:sz w:val="24"/>
          <w:szCs w:val="24"/>
        </w:rPr>
        <w:t>增资</w:t>
      </w:r>
      <w:r>
        <w:rPr>
          <w:rFonts w:ascii="Times New Roman" w:hAnsi="Times New Roman"/>
          <w:sz w:val="24"/>
          <w:szCs w:val="24"/>
        </w:rPr>
        <w:t>”</w:t>
      </w:r>
      <w:r>
        <w:rPr>
          <w:rFonts w:ascii="Times New Roman" w:hAnsi="宋体"/>
          <w:sz w:val="24"/>
          <w:szCs w:val="24"/>
        </w:rPr>
        <w:t>）</w:t>
      </w:r>
      <w:r>
        <w:rPr>
          <w:rFonts w:hint="eastAsia" w:ascii="Times New Roman" w:hAnsi="宋体"/>
          <w:sz w:val="24"/>
          <w:szCs w:val="24"/>
        </w:rPr>
        <w:t>。增资完成后，公司注册资本增加为111.11万元，投资人</w:t>
      </w:r>
      <w:r>
        <w:rPr>
          <w:rFonts w:ascii="Times New Roman" w:hAnsi="宋体"/>
          <w:sz w:val="24"/>
          <w:szCs w:val="24"/>
        </w:rPr>
        <w:t>取得增资完成后</w:t>
      </w:r>
      <w:r>
        <w:rPr>
          <w:rFonts w:ascii="Times New Roman" w:hAnsi="宋体"/>
          <w:b/>
          <w:sz w:val="24"/>
          <w:szCs w:val="24"/>
        </w:rPr>
        <w:t>公司</w:t>
      </w:r>
      <w:r>
        <w:rPr>
          <w:rFonts w:hint="eastAsia" w:ascii="Times New Roman" w:hAnsi="宋体"/>
          <w:sz w:val="24"/>
          <w:szCs w:val="24"/>
        </w:rPr>
        <w:t>10</w:t>
      </w:r>
      <w:r>
        <w:rPr>
          <w:rFonts w:hint="eastAsia" w:ascii="Times New Roman" w:hAnsi="Times New Roman"/>
          <w:sz w:val="24"/>
          <w:szCs w:val="24"/>
        </w:rPr>
        <w:t>%</w:t>
      </w:r>
      <w:r>
        <w:rPr>
          <w:rFonts w:ascii="Times New Roman" w:hAnsi="宋体"/>
          <w:sz w:val="24"/>
          <w:szCs w:val="24"/>
        </w:rPr>
        <w:t>的股权。其中，人民币</w:t>
      </w:r>
      <w:r>
        <w:rPr>
          <w:rFonts w:hint="eastAsia" w:ascii="Times New Roman" w:hAnsi="宋体"/>
          <w:sz w:val="24"/>
          <w:szCs w:val="24"/>
        </w:rPr>
        <w:t>11.11万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的注册资本，剩余人民币</w:t>
      </w:r>
      <w:r>
        <w:rPr>
          <w:rFonts w:hint="eastAsia" w:ascii="Times New Roman" w:hAnsi="宋体"/>
          <w:sz w:val="24"/>
          <w:szCs w:val="24"/>
        </w:rPr>
        <w:t>88.89万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的资本公积。</w:t>
      </w:r>
    </w:p>
    <w:p>
      <w:pPr>
        <w:rPr>
          <w:rFonts w:ascii="Times New Roman" w:hAnsi="Times New Roman"/>
          <w:sz w:val="24"/>
          <w:szCs w:val="24"/>
        </w:rPr>
      </w:pPr>
    </w:p>
    <w:p>
      <w:pPr>
        <w:pStyle w:val="20"/>
        <w:numPr>
          <w:ilvl w:val="1"/>
          <w:numId w:val="8"/>
        </w:numPr>
        <w:spacing w:line="440" w:lineRule="exact"/>
        <w:ind w:left="851" w:hanging="397" w:firstLineChars="0"/>
        <w:rPr>
          <w:rFonts w:ascii="Times New Roman" w:hAnsi="Times New Roman"/>
          <w:b/>
          <w:sz w:val="24"/>
          <w:szCs w:val="24"/>
        </w:rPr>
      </w:pPr>
      <w:r>
        <w:rPr>
          <w:rFonts w:ascii="Times New Roman" w:hAnsi="宋体"/>
          <w:b/>
          <w:sz w:val="24"/>
          <w:szCs w:val="24"/>
        </w:rPr>
        <w:t>各方的持股比例</w:t>
      </w:r>
    </w:p>
    <w:p>
      <w:pPr>
        <w:rPr>
          <w:rFonts w:ascii="Times New Roman" w:hAnsi="Times New Roman"/>
          <w:sz w:val="24"/>
          <w:szCs w:val="24"/>
        </w:rPr>
      </w:pPr>
    </w:p>
    <w:p>
      <w:pPr>
        <w:pStyle w:val="20"/>
        <w:spacing w:after="100" w:afterAutospacing="1" w:line="440" w:lineRule="exact"/>
        <w:ind w:left="851" w:firstLine="0" w:firstLineChars="0"/>
        <w:rPr>
          <w:rFonts w:ascii="Times New Roman" w:hAnsi="Times New Roman"/>
          <w:sz w:val="24"/>
          <w:szCs w:val="24"/>
        </w:rPr>
      </w:pPr>
      <w:bookmarkStart w:id="4" w:name="OLE_LINK1"/>
      <w:r>
        <w:rPr>
          <w:rFonts w:ascii="Times New Roman" w:hAnsi="宋体"/>
          <w:sz w:val="24"/>
          <w:szCs w:val="24"/>
        </w:rPr>
        <w:t>增资完成前后，各方在</w:t>
      </w:r>
      <w:r>
        <w:rPr>
          <w:rFonts w:ascii="Times New Roman" w:hAnsi="宋体"/>
          <w:b/>
          <w:sz w:val="24"/>
          <w:szCs w:val="24"/>
        </w:rPr>
        <w:t>公司</w:t>
      </w:r>
      <w:r>
        <w:rPr>
          <w:rFonts w:ascii="Times New Roman" w:hAnsi="宋体"/>
          <w:sz w:val="24"/>
          <w:szCs w:val="24"/>
        </w:rPr>
        <w:t>的持股比例变化如下表</w:t>
      </w:r>
      <w:bookmarkEnd w:id="4"/>
      <w:r>
        <w:rPr>
          <w:rFonts w:ascii="Times New Roman" w:hAnsi="宋体"/>
          <w:sz w:val="24"/>
          <w:szCs w:val="24"/>
        </w:rPr>
        <w:t>：</w:t>
      </w:r>
    </w:p>
    <w:tbl>
      <w:tblPr>
        <w:tblStyle w:val="16"/>
        <w:tblW w:w="76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727"/>
        <w:gridCol w:w="1362"/>
        <w:gridCol w:w="1799"/>
        <w:gridCol w:w="1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4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24"/>
                <w:szCs w:val="24"/>
              </w:rPr>
            </w:pPr>
            <w:r>
              <w:rPr>
                <w:rFonts w:hint="eastAsia" w:ascii="Times New Roman" w:hAnsi="Times New Roman"/>
                <w:b/>
                <w:sz w:val="24"/>
                <w:szCs w:val="24"/>
              </w:rPr>
              <w:t>股东名称</w:t>
            </w:r>
          </w:p>
        </w:tc>
        <w:tc>
          <w:tcPr>
            <w:tcW w:w="3089"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b/>
                <w:sz w:val="24"/>
                <w:szCs w:val="24"/>
              </w:rPr>
            </w:pPr>
            <w:r>
              <w:rPr>
                <w:rFonts w:ascii="Times New Roman" w:hAnsi="宋体"/>
                <w:b/>
                <w:sz w:val="24"/>
                <w:szCs w:val="24"/>
              </w:rPr>
              <w:t>增资前</w:t>
            </w:r>
            <w:r>
              <w:rPr>
                <w:rFonts w:hint="eastAsia" w:ascii="Times New Roman" w:hAnsi="宋体"/>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c>
          <w:tcPr>
            <w:tcW w:w="3144" w:type="dxa"/>
            <w:gridSpan w:val="2"/>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b/>
                <w:sz w:val="24"/>
                <w:szCs w:val="24"/>
              </w:rPr>
            </w:pPr>
            <w:r>
              <w:rPr>
                <w:rFonts w:ascii="Times New Roman" w:hAnsi="宋体"/>
                <w:b/>
                <w:sz w:val="24"/>
                <w:szCs w:val="24"/>
              </w:rPr>
              <w:t>增资后</w:t>
            </w:r>
            <w:r>
              <w:rPr>
                <w:rFonts w:hint="eastAsia" w:ascii="Times New Roman" w:hAnsi="宋体"/>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5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b/>
                <w:sz w:val="24"/>
                <w:szCs w:val="24"/>
              </w:rPr>
            </w:pPr>
          </w:p>
        </w:tc>
        <w:tc>
          <w:tcPr>
            <w:tcW w:w="1727"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工商登记股权</w:t>
            </w:r>
          </w:p>
        </w:tc>
        <w:tc>
          <w:tcPr>
            <w:tcW w:w="1362" w:type="dxa"/>
            <w:tcBorders>
              <w:top w:val="single" w:color="auto"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实有股权</w:t>
            </w:r>
          </w:p>
        </w:tc>
        <w:tc>
          <w:tcPr>
            <w:tcW w:w="1799"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工商登记股权</w:t>
            </w:r>
          </w:p>
        </w:tc>
        <w:tc>
          <w:tcPr>
            <w:tcW w:w="1345" w:type="dxa"/>
            <w:tcBorders>
              <w:top w:val="single" w:color="auto" w:sz="4" w:space="0"/>
              <w:left w:val="single" w:color="000000" w:sz="4" w:space="0"/>
              <w:bottom w:val="single" w:color="000000" w:sz="4" w:space="0"/>
              <w:right w:val="single" w:color="auto" w:sz="4" w:space="0"/>
            </w:tcBorders>
            <w:vAlign w:val="center"/>
          </w:tcPr>
          <w:p>
            <w:pPr>
              <w:spacing w:line="440" w:lineRule="exact"/>
              <w:jc w:val="center"/>
              <w:rPr>
                <w:rFonts w:ascii="Times New Roman" w:hAnsi="Times New Roman"/>
                <w:sz w:val="24"/>
                <w:szCs w:val="24"/>
              </w:rPr>
            </w:pPr>
            <w:r>
              <w:rPr>
                <w:rFonts w:ascii="Times New Roman" w:hAnsi="宋体"/>
                <w:sz w:val="24"/>
                <w:szCs w:val="24"/>
              </w:rPr>
              <w:t>实有股权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75</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60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67.5</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[XXX]</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9</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投资人</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激励股权池</w:t>
            </w:r>
          </w:p>
        </w:tc>
        <w:tc>
          <w:tcPr>
            <w:tcW w:w="1727"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62" w:type="dxa"/>
            <w:tcBorders>
              <w:top w:val="single" w:color="000000" w:sz="4" w:space="0"/>
              <w:left w:val="single" w:color="auto" w:sz="4" w:space="0"/>
              <w:bottom w:val="single" w:color="auto"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15</w:t>
            </w:r>
          </w:p>
        </w:tc>
        <w:tc>
          <w:tcPr>
            <w:tcW w:w="1799"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w:t>
            </w:r>
          </w:p>
        </w:tc>
        <w:tc>
          <w:tcPr>
            <w:tcW w:w="1345" w:type="dxa"/>
            <w:tcBorders>
              <w:top w:val="single" w:color="000000" w:sz="4" w:space="0"/>
              <w:left w:val="single" w:color="000000" w:sz="4" w:space="0"/>
              <w:bottom w:val="single" w:color="auto" w:sz="4" w:space="0"/>
              <w:right w:val="single" w:color="auto"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45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宋体"/>
                <w:sz w:val="24"/>
                <w:szCs w:val="24"/>
              </w:rPr>
              <w:t>总计</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00</w:t>
            </w:r>
          </w:p>
        </w:tc>
        <w:tc>
          <w:tcPr>
            <w:tcW w:w="1362" w:type="dxa"/>
            <w:tcBorders>
              <w:top w:val="single" w:color="000000" w:sz="4" w:space="0"/>
              <w:left w:val="single" w:color="auto"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100</w:t>
            </w:r>
          </w:p>
        </w:tc>
        <w:tc>
          <w:tcPr>
            <w:tcW w:w="17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ascii="Times New Roman" w:hAnsi="Times New Roman"/>
                <w:sz w:val="24"/>
                <w:szCs w:val="24"/>
              </w:rPr>
              <w:t>100</w:t>
            </w:r>
          </w:p>
        </w:tc>
        <w:tc>
          <w:tcPr>
            <w:tcW w:w="134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Times New Roman" w:hAnsi="Times New Roman"/>
                <w:sz w:val="24"/>
                <w:szCs w:val="24"/>
              </w:rPr>
            </w:pPr>
            <w:r>
              <w:rPr>
                <w:rFonts w:hint="eastAsia" w:ascii="Times New Roman" w:hAnsi="Times New Roman"/>
                <w:sz w:val="24"/>
                <w:szCs w:val="24"/>
              </w:rPr>
              <w:t>100</w:t>
            </w:r>
          </w:p>
        </w:tc>
      </w:tr>
    </w:tbl>
    <w:p>
      <w:pPr>
        <w:spacing w:line="440" w:lineRule="exact"/>
        <w:ind w:left="567" w:leftChars="270"/>
        <w:rPr>
          <w:rFonts w:ascii="Times New Roman" w:hAnsi="Times New Roman"/>
          <w:sz w:val="24"/>
          <w:szCs w:val="24"/>
        </w:rPr>
      </w:pPr>
    </w:p>
    <w:p>
      <w:pPr>
        <w:spacing w:line="440" w:lineRule="exact"/>
        <w:ind w:left="567" w:leftChars="270"/>
        <w:rPr>
          <w:rFonts w:ascii="Times New Roman" w:hAnsi="Times New Roman"/>
          <w:sz w:val="24"/>
          <w:szCs w:val="24"/>
        </w:rPr>
      </w:pPr>
      <w:r>
        <w:rPr>
          <w:rFonts w:hint="eastAsia" w:ascii="Times New Roman" w:hAnsi="Times New Roman"/>
          <w:sz w:val="24"/>
          <w:szCs w:val="24"/>
        </w:rPr>
        <w:t>注：增资后[XXX]持有的</w:t>
      </w:r>
      <w:r>
        <w:rPr>
          <w:rFonts w:hint="eastAsia" w:ascii="Times New Roman" w:hAnsi="宋体"/>
          <w:sz w:val="24"/>
          <w:szCs w:val="24"/>
        </w:rPr>
        <w:t>67.5</w:t>
      </w:r>
      <w:r>
        <w:rPr>
          <w:rFonts w:hint="eastAsia" w:ascii="Times New Roman" w:hAnsi="Times New Roman"/>
          <w:sz w:val="24"/>
          <w:szCs w:val="24"/>
        </w:rPr>
        <w:t>%股权中，</w:t>
      </w:r>
      <w:r>
        <w:rPr>
          <w:rFonts w:hint="eastAsia" w:ascii="Times New Roman" w:hAnsi="宋体"/>
          <w:sz w:val="24"/>
          <w:szCs w:val="24"/>
        </w:rPr>
        <w:t>13.5</w:t>
      </w:r>
      <w:r>
        <w:rPr>
          <w:rFonts w:hint="eastAsia" w:ascii="Times New Roman" w:hAnsi="Times New Roman"/>
          <w:sz w:val="24"/>
          <w:szCs w:val="24"/>
        </w:rPr>
        <w:t>%是代持的员工激励股权。</w:t>
      </w:r>
    </w:p>
    <w:p>
      <w:pPr>
        <w:spacing w:line="440" w:lineRule="exact"/>
        <w:rPr>
          <w:rFonts w:ascii="Times New Roman" w:hAnsi="Times New Roman"/>
          <w:sz w:val="24"/>
          <w:szCs w:val="24"/>
        </w:rPr>
      </w:pPr>
    </w:p>
    <w:p>
      <w:pPr>
        <w:pStyle w:val="20"/>
        <w:numPr>
          <w:ilvl w:val="1"/>
          <w:numId w:val="8"/>
        </w:numPr>
        <w:spacing w:line="440" w:lineRule="exact"/>
        <w:ind w:left="851" w:hanging="397" w:firstLineChars="0"/>
        <w:rPr>
          <w:rFonts w:ascii="Times New Roman" w:hAnsi="Times New Roman"/>
          <w:b/>
          <w:sz w:val="24"/>
          <w:szCs w:val="24"/>
        </w:rPr>
      </w:pPr>
      <w:r>
        <w:rPr>
          <w:rFonts w:ascii="Times New Roman" w:hAnsi="宋体"/>
          <w:b/>
          <w:sz w:val="24"/>
          <w:szCs w:val="24"/>
        </w:rPr>
        <w:t>股东放弃优先认购权</w:t>
      </w:r>
    </w:p>
    <w:p>
      <w:pPr>
        <w:pStyle w:val="20"/>
        <w:spacing w:line="440" w:lineRule="exact"/>
        <w:ind w:left="851" w:firstLine="0" w:firstLineChars="0"/>
        <w:rPr>
          <w:rFonts w:ascii="Times New Roman" w:hAnsi="宋体"/>
          <w:sz w:val="24"/>
          <w:szCs w:val="24"/>
        </w:rPr>
      </w:pPr>
      <w:r>
        <w:rPr>
          <w:rFonts w:ascii="Times New Roman" w:hAnsi="宋体"/>
          <w:b/>
          <w:sz w:val="24"/>
          <w:szCs w:val="24"/>
        </w:rPr>
        <w:t>公司</w:t>
      </w:r>
      <w:r>
        <w:rPr>
          <w:rFonts w:ascii="Times New Roman" w:hAnsi="宋体"/>
          <w:sz w:val="24"/>
          <w:szCs w:val="24"/>
        </w:rPr>
        <w:t>全部</w:t>
      </w:r>
      <w:r>
        <w:rPr>
          <w:rFonts w:ascii="Times New Roman" w:hAnsi="宋体"/>
          <w:b/>
          <w:sz w:val="24"/>
          <w:szCs w:val="24"/>
        </w:rPr>
        <w:t>现有股东</w:t>
      </w:r>
      <w:r>
        <w:rPr>
          <w:rFonts w:ascii="Times New Roman" w:hAnsi="宋体"/>
          <w:sz w:val="24"/>
          <w:szCs w:val="24"/>
        </w:rPr>
        <w:t>特此放弃其对于本次增资所享有的优先认购权，无论该权利取得是基于法律规定、</w:t>
      </w:r>
      <w:r>
        <w:rPr>
          <w:rFonts w:ascii="Times New Roman" w:hAnsi="宋体"/>
          <w:b/>
          <w:sz w:val="24"/>
          <w:szCs w:val="24"/>
        </w:rPr>
        <w:t>公司</w:t>
      </w:r>
      <w:r>
        <w:rPr>
          <w:rFonts w:ascii="Times New Roman" w:hAnsi="宋体"/>
          <w:sz w:val="24"/>
          <w:szCs w:val="24"/>
        </w:rPr>
        <w:t>章程规定或任何其他事由。</w:t>
      </w:r>
    </w:p>
    <w:p>
      <w:pPr>
        <w:pStyle w:val="20"/>
        <w:spacing w:line="440" w:lineRule="exact"/>
        <w:ind w:left="851" w:firstLine="0" w:firstLineChars="0"/>
        <w:rPr>
          <w:rFonts w:ascii="Times New Roman" w:hAnsi="Times New Roman"/>
          <w:sz w:val="24"/>
          <w:szCs w:val="24"/>
        </w:rPr>
      </w:pPr>
    </w:p>
    <w:p>
      <w:pPr>
        <w:pStyle w:val="20"/>
        <w:numPr>
          <w:ilvl w:val="1"/>
          <w:numId w:val="8"/>
        </w:numPr>
        <w:spacing w:line="440" w:lineRule="exact"/>
        <w:ind w:left="851" w:hanging="397" w:firstLineChars="0"/>
        <w:rPr>
          <w:rFonts w:ascii="Times New Roman" w:hAnsi="宋体"/>
          <w:b/>
          <w:sz w:val="24"/>
          <w:szCs w:val="24"/>
        </w:rPr>
      </w:pPr>
      <w:r>
        <w:rPr>
          <w:rFonts w:ascii="Times New Roman" w:hAnsi="宋体"/>
          <w:b/>
          <w:sz w:val="24"/>
          <w:szCs w:val="24"/>
        </w:rPr>
        <w:t>激励股权</w:t>
      </w:r>
    </w:p>
    <w:p>
      <w:pPr>
        <w:rPr>
          <w:rFonts w:ascii="Times New Roman" w:hAnsi="Times New Roman"/>
          <w:sz w:val="24"/>
          <w:szCs w:val="24"/>
        </w:rPr>
      </w:pPr>
    </w:p>
    <w:p>
      <w:pPr>
        <w:pStyle w:val="20"/>
        <w:spacing w:line="440" w:lineRule="exact"/>
        <w:ind w:left="850" w:leftChars="405" w:firstLine="0" w:firstLineChars="0"/>
        <w:rPr>
          <w:rFonts w:ascii="Times New Roman" w:hAnsi="宋体"/>
          <w:kern w:val="0"/>
          <w:sz w:val="24"/>
          <w:szCs w:val="24"/>
        </w:rPr>
      </w:pPr>
      <w:r>
        <w:rPr>
          <w:rFonts w:ascii="Times New Roman" w:hAnsi="宋体"/>
          <w:b/>
          <w:kern w:val="0"/>
          <w:sz w:val="24"/>
          <w:szCs w:val="24"/>
        </w:rPr>
        <w:t>现有股东</w:t>
      </w:r>
      <w:r>
        <w:rPr>
          <w:rFonts w:ascii="Times New Roman" w:hAnsi="宋体"/>
          <w:kern w:val="0"/>
          <w:sz w:val="24"/>
          <w:szCs w:val="24"/>
        </w:rPr>
        <w:t>承诺，在其持有的经工商登记的股权中，</w:t>
      </w:r>
      <w:r>
        <w:rPr>
          <w:rFonts w:hint="eastAsia" w:ascii="Times New Roman" w:hAnsi="宋体"/>
          <w:kern w:val="0"/>
          <w:sz w:val="24"/>
          <w:szCs w:val="24"/>
        </w:rPr>
        <w:t>已经预留占</w:t>
      </w:r>
      <w:r>
        <w:rPr>
          <w:rFonts w:ascii="Times New Roman" w:hAnsi="宋体"/>
          <w:kern w:val="0"/>
          <w:sz w:val="24"/>
          <w:szCs w:val="24"/>
        </w:rPr>
        <w:t>增资后</w:t>
      </w:r>
      <w:r>
        <w:rPr>
          <w:rFonts w:ascii="Times New Roman" w:hAnsi="宋体"/>
          <w:b/>
          <w:kern w:val="0"/>
          <w:sz w:val="24"/>
          <w:szCs w:val="24"/>
        </w:rPr>
        <w:t>公司</w:t>
      </w:r>
      <w:r>
        <w:rPr>
          <w:rFonts w:hint="eastAsia" w:ascii="Times New Roman" w:hAnsi="宋体"/>
          <w:sz w:val="24"/>
          <w:szCs w:val="24"/>
        </w:rPr>
        <w:t>[XXX]</w:t>
      </w:r>
      <w:r>
        <w:rPr>
          <w:rFonts w:ascii="Times New Roman" w:hAnsi="Times New Roman"/>
          <w:kern w:val="0"/>
          <w:sz w:val="24"/>
          <w:szCs w:val="24"/>
        </w:rPr>
        <w:t>%</w:t>
      </w:r>
      <w:r>
        <w:rPr>
          <w:rFonts w:ascii="Times New Roman" w:hAnsi="宋体"/>
          <w:kern w:val="0"/>
          <w:sz w:val="24"/>
          <w:szCs w:val="24"/>
        </w:rPr>
        <w:t>股权作为</w:t>
      </w:r>
      <w:r>
        <w:rPr>
          <w:rFonts w:ascii="Times New Roman" w:hAnsi="宋体"/>
          <w:b/>
          <w:kern w:val="0"/>
          <w:sz w:val="24"/>
          <w:szCs w:val="24"/>
        </w:rPr>
        <w:t>公司</w:t>
      </w:r>
      <w:r>
        <w:rPr>
          <w:rFonts w:ascii="Times New Roman" w:hAnsi="宋体"/>
          <w:kern w:val="0"/>
          <w:sz w:val="24"/>
          <w:szCs w:val="24"/>
        </w:rPr>
        <w:t>激励股权</w:t>
      </w:r>
      <w:r>
        <w:rPr>
          <w:rFonts w:hint="eastAsia" w:ascii="Times New Roman" w:hAnsi="宋体"/>
          <w:kern w:val="0"/>
          <w:sz w:val="24"/>
          <w:szCs w:val="24"/>
        </w:rPr>
        <w:t>，并由</w:t>
      </w:r>
      <w:r>
        <w:rPr>
          <w:rFonts w:hint="eastAsia" w:ascii="Times New Roman" w:hAnsi="Times New Roman"/>
          <w:b/>
          <w:kern w:val="0"/>
          <w:sz w:val="24"/>
          <w:szCs w:val="24"/>
        </w:rPr>
        <w:t>创始人股东</w:t>
      </w:r>
      <w:r>
        <w:rPr>
          <w:rFonts w:hint="eastAsia" w:ascii="Times New Roman" w:hAnsi="Times New Roman"/>
          <w:kern w:val="0"/>
          <w:sz w:val="24"/>
          <w:szCs w:val="24"/>
        </w:rPr>
        <w:t>代为持有。</w:t>
      </w:r>
      <w:r>
        <w:rPr>
          <w:rFonts w:ascii="Times New Roman" w:hAnsi="宋体"/>
          <w:b/>
          <w:kern w:val="0"/>
          <w:sz w:val="24"/>
          <w:szCs w:val="24"/>
        </w:rPr>
        <w:t>公司</w:t>
      </w:r>
      <w:r>
        <w:rPr>
          <w:rFonts w:ascii="Times New Roman" w:hAnsi="宋体"/>
          <w:kern w:val="0"/>
          <w:sz w:val="24"/>
          <w:szCs w:val="24"/>
        </w:rPr>
        <w:t>若要向员工发放激励股权，必须由</w:t>
      </w:r>
      <w:r>
        <w:rPr>
          <w:rFonts w:ascii="Times New Roman" w:hAnsi="宋体"/>
          <w:b/>
          <w:kern w:val="0"/>
          <w:sz w:val="24"/>
          <w:szCs w:val="24"/>
        </w:rPr>
        <w:t>公司</w:t>
      </w:r>
      <w:r>
        <w:rPr>
          <w:rFonts w:ascii="Times New Roman" w:hAnsi="宋体"/>
          <w:kern w:val="0"/>
          <w:sz w:val="24"/>
          <w:szCs w:val="24"/>
        </w:rPr>
        <w:t>相关机构制定、批准股权激励制度</w:t>
      </w:r>
      <w:r>
        <w:rPr>
          <w:rFonts w:hint="eastAsia" w:ascii="Times New Roman" w:hAnsi="宋体"/>
          <w:kern w:val="0"/>
          <w:sz w:val="24"/>
          <w:szCs w:val="24"/>
        </w:rPr>
        <w:t>，并由</w:t>
      </w:r>
      <w:r>
        <w:rPr>
          <w:rFonts w:hint="eastAsia" w:ascii="Times New Roman" w:hAnsi="宋体"/>
          <w:b/>
          <w:kern w:val="0"/>
          <w:sz w:val="24"/>
          <w:szCs w:val="24"/>
        </w:rPr>
        <w:t>公司</w:t>
      </w:r>
      <w:r>
        <w:rPr>
          <w:rFonts w:hint="eastAsia" w:ascii="Times New Roman" w:hAnsi="宋体"/>
          <w:kern w:val="0"/>
          <w:sz w:val="24"/>
          <w:szCs w:val="24"/>
        </w:rPr>
        <w:t>董事会负责管理。</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5" w:name="_Toc405278766"/>
      <w:r>
        <w:rPr>
          <w:rFonts w:ascii="宋体" w:hAnsi="宋体" w:eastAsia="宋体"/>
          <w:b/>
        </w:rPr>
        <w:t>增资时各方的义务</w:t>
      </w:r>
      <w:bookmarkEnd w:id="5"/>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在</w:t>
      </w:r>
      <w:r>
        <w:rPr>
          <w:rFonts w:ascii="Times New Roman" w:hAnsi="宋体"/>
          <w:b/>
          <w:sz w:val="24"/>
          <w:szCs w:val="24"/>
        </w:rPr>
        <w:t>本协议</w:t>
      </w:r>
      <w:r>
        <w:rPr>
          <w:rFonts w:ascii="Times New Roman" w:hAnsi="宋体"/>
          <w:sz w:val="24"/>
          <w:szCs w:val="24"/>
        </w:rPr>
        <w:t>签署后，各方应当履行以下义务：</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公司批准交易</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公司</w:t>
      </w:r>
      <w:r>
        <w:rPr>
          <w:rFonts w:hint="eastAsia" w:ascii="Times New Roman" w:hAnsi="宋体"/>
          <w:sz w:val="24"/>
          <w:szCs w:val="24"/>
        </w:rPr>
        <w:t>及</w:t>
      </w:r>
      <w:r>
        <w:rPr>
          <w:rFonts w:hint="eastAsia" w:ascii="Times New Roman" w:hAnsi="宋体"/>
          <w:b/>
          <w:sz w:val="24"/>
          <w:szCs w:val="24"/>
        </w:rPr>
        <w:t>现有股东</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签订之日起</w:t>
      </w:r>
      <w:r>
        <w:rPr>
          <w:rFonts w:hint="eastAsia" w:ascii="Times New Roman" w:hAnsi="Times New Roman"/>
          <w:sz w:val="24"/>
          <w:szCs w:val="24"/>
        </w:rPr>
        <w:t>5</w:t>
      </w:r>
      <w:r>
        <w:rPr>
          <w:rFonts w:ascii="Times New Roman" w:hAnsi="宋体"/>
          <w:sz w:val="24"/>
          <w:szCs w:val="24"/>
        </w:rPr>
        <w:t>个工作日内，做出股东会决议，批准本次</w:t>
      </w:r>
      <w:r>
        <w:rPr>
          <w:rFonts w:ascii="Times New Roman" w:hAnsi="宋体"/>
          <w:b/>
          <w:sz w:val="24"/>
          <w:szCs w:val="24"/>
        </w:rPr>
        <w:t>增资</w:t>
      </w:r>
      <w:r>
        <w:rPr>
          <w:rFonts w:ascii="Times New Roman" w:hAnsi="宋体"/>
          <w:sz w:val="24"/>
          <w:szCs w:val="24"/>
        </w:rPr>
        <w:t>并对</w:t>
      </w:r>
      <w:r>
        <w:rPr>
          <w:rFonts w:ascii="Times New Roman" w:hAnsi="宋体"/>
          <w:b/>
          <w:sz w:val="24"/>
          <w:szCs w:val="24"/>
        </w:rPr>
        <w:t>公司</w:t>
      </w:r>
      <w:r>
        <w:rPr>
          <w:rFonts w:ascii="Times New Roman" w:hAnsi="宋体"/>
          <w:sz w:val="24"/>
          <w:szCs w:val="24"/>
        </w:rPr>
        <w:t>章程进行修订，</w:t>
      </w:r>
      <w:r>
        <w:rPr>
          <w:rFonts w:ascii="Times New Roman" w:hAnsi="宋体"/>
          <w:b/>
          <w:sz w:val="24"/>
          <w:szCs w:val="24"/>
        </w:rPr>
        <w:t>公司</w:t>
      </w:r>
      <w:r>
        <w:rPr>
          <w:rFonts w:ascii="Times New Roman" w:hAnsi="宋体"/>
          <w:sz w:val="24"/>
          <w:szCs w:val="24"/>
        </w:rPr>
        <w:t>股东会批准本协议后，本协议生效。</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投资人付款</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生效后，</w:t>
      </w:r>
      <w:r>
        <w:rPr>
          <w:rFonts w:ascii="Times New Roman" w:hAnsi="宋体"/>
          <w:b/>
          <w:sz w:val="24"/>
          <w:szCs w:val="24"/>
        </w:rPr>
        <w:t>公司</w:t>
      </w:r>
      <w:r>
        <w:rPr>
          <w:rFonts w:ascii="Times New Roman" w:hAnsi="宋体"/>
          <w:sz w:val="24"/>
          <w:szCs w:val="24"/>
        </w:rPr>
        <w:t>应</w:t>
      </w:r>
      <w:r>
        <w:rPr>
          <w:rFonts w:hint="eastAsia" w:ascii="Times New Roman" w:hAnsi="宋体"/>
          <w:sz w:val="24"/>
          <w:szCs w:val="24"/>
        </w:rPr>
        <w:t>将公司开立的银行账户</w:t>
      </w:r>
      <w:r>
        <w:rPr>
          <w:rFonts w:ascii="Times New Roman" w:hAnsi="宋体"/>
          <w:sz w:val="24"/>
          <w:szCs w:val="24"/>
        </w:rPr>
        <w:t>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应在收到通知之日起</w:t>
      </w:r>
      <w:r>
        <w:rPr>
          <w:rFonts w:hint="eastAsia" w:ascii="Times New Roman" w:hAnsi="宋体"/>
          <w:sz w:val="24"/>
          <w:szCs w:val="24"/>
        </w:rPr>
        <w:t>5</w:t>
      </w:r>
      <w:r>
        <w:rPr>
          <w:rFonts w:ascii="Times New Roman" w:hAnsi="宋体"/>
          <w:sz w:val="24"/>
          <w:szCs w:val="24"/>
        </w:rPr>
        <w:t>个工作日内，将</w:t>
      </w:r>
      <w:r>
        <w:rPr>
          <w:rFonts w:ascii="Times New Roman" w:hAnsi="宋体"/>
          <w:b/>
          <w:sz w:val="24"/>
          <w:szCs w:val="24"/>
        </w:rPr>
        <w:t>投资款</w:t>
      </w:r>
      <w:r>
        <w:rPr>
          <w:rFonts w:ascii="Times New Roman" w:hAnsi="宋体"/>
          <w:sz w:val="24"/>
          <w:szCs w:val="24"/>
        </w:rPr>
        <w:t>全部汇入</w:t>
      </w:r>
      <w:r>
        <w:rPr>
          <w:rFonts w:ascii="Times New Roman" w:hAnsi="宋体"/>
          <w:b/>
          <w:sz w:val="24"/>
          <w:szCs w:val="24"/>
        </w:rPr>
        <w:t>公司</w:t>
      </w:r>
      <w:r>
        <w:rPr>
          <w:rFonts w:ascii="Times New Roman" w:hAnsi="宋体"/>
          <w:sz w:val="24"/>
          <w:szCs w:val="24"/>
        </w:rPr>
        <w:t>指定账户。</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后，即取得股东权利。</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公司工商变更登记</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sz w:val="24"/>
          <w:szCs w:val="24"/>
        </w:rPr>
        <w:t>在</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w:t>
      </w:r>
      <w:r>
        <w:rPr>
          <w:rFonts w:hint="eastAsia" w:ascii="Times New Roman" w:hAnsi="宋体"/>
          <w:sz w:val="24"/>
          <w:szCs w:val="24"/>
        </w:rPr>
        <w:t>5</w:t>
      </w:r>
      <w:r>
        <w:rPr>
          <w:rFonts w:ascii="Times New Roman" w:hAnsi="宋体"/>
          <w:sz w:val="24"/>
          <w:szCs w:val="24"/>
        </w:rPr>
        <w:t>个工作日内，</w:t>
      </w:r>
      <w:r>
        <w:rPr>
          <w:rFonts w:ascii="Times New Roman" w:hAnsi="宋体"/>
          <w:b/>
          <w:sz w:val="24"/>
          <w:szCs w:val="24"/>
        </w:rPr>
        <w:t>公司</w:t>
      </w:r>
      <w:r>
        <w:rPr>
          <w:rFonts w:ascii="Times New Roman" w:hAnsi="宋体"/>
          <w:sz w:val="24"/>
          <w:szCs w:val="24"/>
        </w:rPr>
        <w:t>应向工商行政机关申请办理</w:t>
      </w:r>
      <w:r>
        <w:rPr>
          <w:rFonts w:hint="eastAsia" w:ascii="Times New Roman" w:hAnsi="宋体"/>
          <w:sz w:val="24"/>
          <w:szCs w:val="24"/>
        </w:rPr>
        <w:t>本次</w:t>
      </w:r>
      <w:r>
        <w:rPr>
          <w:rFonts w:hint="eastAsia" w:ascii="Times New Roman" w:hAnsi="宋体"/>
          <w:b/>
          <w:sz w:val="24"/>
          <w:szCs w:val="24"/>
        </w:rPr>
        <w:t>增资</w:t>
      </w:r>
      <w:r>
        <w:rPr>
          <w:rFonts w:hint="eastAsia" w:ascii="Times New Roman" w:hAnsi="宋体"/>
          <w:sz w:val="24"/>
          <w:szCs w:val="24"/>
        </w:rPr>
        <w:t>的</w:t>
      </w:r>
      <w:r>
        <w:rPr>
          <w:rFonts w:ascii="Times New Roman" w:hAnsi="宋体"/>
          <w:sz w:val="24"/>
          <w:szCs w:val="24"/>
        </w:rPr>
        <w:t>工商变更登记，并在合理时间内完成工商登记事宜。</w:t>
      </w:r>
    </w:p>
    <w:p>
      <w:pPr>
        <w:rPr>
          <w:rFonts w:ascii="Times New Roman" w:hAnsi="Times New Roman"/>
          <w:sz w:val="24"/>
          <w:szCs w:val="24"/>
        </w:rPr>
      </w:pPr>
    </w:p>
    <w:p>
      <w:pPr>
        <w:pStyle w:val="20"/>
        <w:numPr>
          <w:ilvl w:val="1"/>
          <w:numId w:val="9"/>
        </w:numPr>
        <w:spacing w:line="440" w:lineRule="exact"/>
        <w:ind w:left="851" w:hanging="397" w:firstLineChars="0"/>
        <w:rPr>
          <w:rFonts w:ascii="Times New Roman" w:hAnsi="Times New Roman"/>
          <w:b/>
          <w:sz w:val="24"/>
          <w:szCs w:val="24"/>
        </w:rPr>
      </w:pPr>
      <w:r>
        <w:rPr>
          <w:rFonts w:ascii="Times New Roman" w:hAnsi="宋体"/>
          <w:b/>
          <w:sz w:val="24"/>
          <w:szCs w:val="24"/>
        </w:rPr>
        <w:t>文件的交付</w:t>
      </w:r>
    </w:p>
    <w:p>
      <w:pPr>
        <w:rPr>
          <w:rFonts w:ascii="Times New Roman" w:hAnsi="Times New Roman"/>
          <w:sz w:val="24"/>
          <w:szCs w:val="24"/>
        </w:rPr>
      </w:pPr>
    </w:p>
    <w:p>
      <w:pPr>
        <w:pStyle w:val="20"/>
        <w:spacing w:line="440" w:lineRule="exact"/>
        <w:ind w:left="851"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应按照</w:t>
      </w:r>
      <w:r>
        <w:rPr>
          <w:rFonts w:ascii="Times New Roman" w:hAnsi="宋体"/>
          <w:b/>
          <w:sz w:val="24"/>
          <w:szCs w:val="24"/>
        </w:rPr>
        <w:t>投资人</w:t>
      </w:r>
      <w:r>
        <w:rPr>
          <w:rFonts w:ascii="Times New Roman" w:hAnsi="宋体"/>
          <w:sz w:val="24"/>
          <w:szCs w:val="24"/>
        </w:rPr>
        <w:t>的要求，将批准本次</w:t>
      </w:r>
      <w:r>
        <w:rPr>
          <w:rFonts w:ascii="Times New Roman" w:hAnsi="宋体"/>
          <w:b/>
          <w:sz w:val="24"/>
          <w:szCs w:val="24"/>
        </w:rPr>
        <w:t>增资</w:t>
      </w:r>
      <w:r>
        <w:rPr>
          <w:rFonts w:ascii="Times New Roman" w:hAnsi="宋体"/>
          <w:sz w:val="24"/>
          <w:szCs w:val="24"/>
        </w:rPr>
        <w:t>的股东会决议、经工商变更后的</w:t>
      </w:r>
      <w:r>
        <w:rPr>
          <w:rFonts w:ascii="Times New Roman" w:hAnsi="宋体"/>
          <w:b/>
          <w:sz w:val="24"/>
          <w:szCs w:val="24"/>
        </w:rPr>
        <w:t>公司</w:t>
      </w:r>
      <w:r>
        <w:rPr>
          <w:rFonts w:ascii="Times New Roman" w:hAnsi="宋体"/>
          <w:sz w:val="24"/>
          <w:szCs w:val="24"/>
        </w:rPr>
        <w:t>章程和营业执照</w:t>
      </w:r>
      <w:r>
        <w:rPr>
          <w:rFonts w:hint="eastAsia" w:ascii="Times New Roman" w:hAnsi="宋体"/>
          <w:sz w:val="24"/>
          <w:szCs w:val="24"/>
        </w:rPr>
        <w:t>、支付</w:t>
      </w:r>
      <w:r>
        <w:rPr>
          <w:rFonts w:hint="eastAsia" w:ascii="Times New Roman" w:hAnsi="宋体"/>
          <w:b/>
          <w:sz w:val="24"/>
          <w:szCs w:val="24"/>
        </w:rPr>
        <w:t>投资款</w:t>
      </w:r>
      <w:r>
        <w:rPr>
          <w:rFonts w:hint="eastAsia" w:ascii="Times New Roman" w:hAnsi="宋体"/>
          <w:sz w:val="24"/>
          <w:szCs w:val="24"/>
        </w:rPr>
        <w:t>的银行对账单</w:t>
      </w:r>
      <w:r>
        <w:rPr>
          <w:rFonts w:ascii="Times New Roman" w:hAnsi="宋体"/>
          <w:sz w:val="24"/>
          <w:szCs w:val="24"/>
        </w:rPr>
        <w:t>等文件的复印件，提交给</w:t>
      </w:r>
      <w:r>
        <w:rPr>
          <w:rFonts w:ascii="Times New Roman" w:hAnsi="宋体"/>
          <w:b/>
          <w:sz w:val="24"/>
          <w:szCs w:val="24"/>
        </w:rPr>
        <w:t>投资人</w:t>
      </w:r>
      <w:r>
        <w:rPr>
          <w:rFonts w:ascii="Times New Roman" w:hAnsi="宋体"/>
          <w:sz w:val="24"/>
          <w:szCs w:val="24"/>
        </w:rPr>
        <w:t>。</w:t>
      </w:r>
    </w:p>
    <w:p>
      <w:pPr>
        <w:pStyle w:val="2"/>
        <w:numPr>
          <w:ilvl w:val="0"/>
          <w:numId w:val="6"/>
        </w:numPr>
        <w:jc w:val="center"/>
        <w:rPr>
          <w:rFonts w:ascii="Times New Roman" w:hAnsi="宋体"/>
          <w:sz w:val="24"/>
          <w:szCs w:val="24"/>
        </w:rPr>
      </w:pPr>
      <w:bookmarkStart w:id="6" w:name="_Toc405278767"/>
      <w:r>
        <w:rPr>
          <w:rFonts w:ascii="Times New Roman" w:hAnsi="宋体"/>
          <w:sz w:val="24"/>
          <w:szCs w:val="24"/>
        </w:rPr>
        <w:t>各方的陈述和保证</w:t>
      </w:r>
      <w:bookmarkEnd w:id="6"/>
    </w:p>
    <w:p>
      <w:pPr>
        <w:pStyle w:val="3"/>
        <w:numPr>
          <w:ilvl w:val="1"/>
          <w:numId w:val="7"/>
        </w:numPr>
        <w:rPr>
          <w:rFonts w:ascii="宋体" w:hAnsi="宋体" w:eastAsia="宋体"/>
          <w:b/>
        </w:rPr>
      </w:pPr>
      <w:bookmarkStart w:id="7" w:name="_Toc405278768"/>
      <w:r>
        <w:rPr>
          <w:rFonts w:ascii="宋体" w:hAnsi="宋体" w:eastAsia="宋体"/>
          <w:b/>
        </w:rPr>
        <w:t>创始人与公司的陈述和保证：</w:t>
      </w:r>
      <w:bookmarkEnd w:id="7"/>
    </w:p>
    <w:p>
      <w:pPr>
        <w:rPr>
          <w:rFonts w:ascii="Times New Roman" w:hAnsi="Times New Roman"/>
          <w:sz w:val="24"/>
          <w:szCs w:val="24"/>
        </w:rPr>
      </w:pP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有效存续</w:t>
      </w:r>
      <w:r>
        <w:rPr>
          <w:rFonts w:ascii="Times New Roman" w:hAnsi="宋体"/>
          <w:sz w:val="24"/>
          <w:szCs w:val="24"/>
        </w:rPr>
        <w:t>。</w:t>
      </w:r>
      <w:r>
        <w:rPr>
          <w:rFonts w:ascii="Times New Roman" w:hAnsi="宋体"/>
          <w:b/>
          <w:sz w:val="24"/>
          <w:szCs w:val="24"/>
        </w:rPr>
        <w:t>公司</w:t>
      </w:r>
      <w:r>
        <w:rPr>
          <w:rFonts w:ascii="Times New Roman" w:hAnsi="宋体"/>
          <w:sz w:val="24"/>
          <w:szCs w:val="24"/>
        </w:rPr>
        <w:t>是依照中国法律合法设立并有效存续的有限责任公司。</w:t>
      </w:r>
    </w:p>
    <w:p>
      <w:pPr>
        <w:pStyle w:val="20"/>
        <w:numPr>
          <w:ilvl w:val="0"/>
          <w:numId w:val="10"/>
        </w:numPr>
        <w:tabs>
          <w:tab w:val="left" w:pos="1260"/>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必要授权</w:t>
      </w:r>
      <w:r>
        <w:rPr>
          <w:rFonts w:ascii="Times New Roman" w:hAnsi="宋体"/>
          <w:sz w:val="24"/>
          <w:szCs w:val="24"/>
        </w:rPr>
        <w:t>。</w:t>
      </w:r>
      <w:r>
        <w:rPr>
          <w:rFonts w:ascii="Times New Roman" w:hAnsi="宋体"/>
          <w:b/>
          <w:kern w:val="0"/>
          <w:sz w:val="24"/>
          <w:szCs w:val="24"/>
        </w:rPr>
        <w:t>现有股东</w:t>
      </w:r>
      <w:r>
        <w:rPr>
          <w:rFonts w:ascii="Times New Roman" w:hAnsi="宋体"/>
          <w:kern w:val="0"/>
          <w:sz w:val="24"/>
          <w:szCs w:val="24"/>
        </w:rPr>
        <w:t>与</w:t>
      </w:r>
      <w:r>
        <w:rPr>
          <w:rFonts w:ascii="Times New Roman" w:hAnsi="宋体"/>
          <w:b/>
          <w:kern w:val="0"/>
          <w:sz w:val="24"/>
          <w:szCs w:val="24"/>
        </w:rPr>
        <w:t>公司</w:t>
      </w:r>
      <w:r>
        <w:rPr>
          <w:rFonts w:ascii="Times New Roman" w:hAnsi="宋体"/>
          <w:kern w:val="0"/>
          <w:sz w:val="24"/>
          <w:szCs w:val="24"/>
        </w:rPr>
        <w:t>均具有相应的民事行为能力，并具备充分的权限签署和履行</w:t>
      </w:r>
      <w:r>
        <w:rPr>
          <w:rFonts w:ascii="Times New Roman" w:hAnsi="宋体"/>
          <w:b/>
          <w:kern w:val="0"/>
          <w:sz w:val="24"/>
          <w:szCs w:val="24"/>
        </w:rPr>
        <w:t>本协议</w:t>
      </w:r>
      <w:r>
        <w:rPr>
          <w:rFonts w:ascii="Times New Roman" w:hAnsi="宋体"/>
          <w:kern w:val="0"/>
          <w:sz w:val="24"/>
          <w:szCs w:val="24"/>
        </w:rPr>
        <w:t>。</w:t>
      </w:r>
      <w:r>
        <w:rPr>
          <w:rFonts w:ascii="Times New Roman" w:hAnsi="宋体"/>
          <w:b/>
          <w:kern w:val="0"/>
          <w:sz w:val="24"/>
          <w:szCs w:val="24"/>
        </w:rPr>
        <w:t>本协议</w:t>
      </w:r>
      <w:r>
        <w:rPr>
          <w:rFonts w:ascii="Times New Roman" w:hAnsi="宋体"/>
          <w:kern w:val="0"/>
          <w:sz w:val="24"/>
          <w:szCs w:val="24"/>
        </w:rPr>
        <w:t>一经</w:t>
      </w:r>
      <w:r>
        <w:rPr>
          <w:rFonts w:ascii="Times New Roman" w:hAnsi="宋体"/>
          <w:sz w:val="24"/>
          <w:szCs w:val="24"/>
        </w:rPr>
        <w:t>签署</w:t>
      </w:r>
      <w:r>
        <w:rPr>
          <w:rFonts w:ascii="Times New Roman" w:hAnsi="宋体"/>
          <w:kern w:val="0"/>
          <w:sz w:val="24"/>
          <w:szCs w:val="24"/>
        </w:rPr>
        <w:t>并经</w:t>
      </w:r>
      <w:r>
        <w:rPr>
          <w:rFonts w:ascii="Times New Roman" w:hAnsi="宋体"/>
          <w:b/>
          <w:kern w:val="0"/>
          <w:sz w:val="24"/>
          <w:szCs w:val="24"/>
        </w:rPr>
        <w:t>公司</w:t>
      </w:r>
      <w:r>
        <w:rPr>
          <w:rFonts w:ascii="Times New Roman" w:hAnsi="宋体"/>
          <w:kern w:val="0"/>
          <w:sz w:val="24"/>
          <w:szCs w:val="24"/>
        </w:rPr>
        <w:t>股东会批准后，即对各方构成合法、有效和有约束力的文件。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不冲突</w:t>
      </w:r>
      <w:r>
        <w:rPr>
          <w:rFonts w:ascii="Times New Roman" w:hAnsi="宋体"/>
          <w:sz w:val="24"/>
          <w:szCs w:val="24"/>
        </w:rPr>
        <w:t>。</w:t>
      </w:r>
      <w:r>
        <w:rPr>
          <w:rFonts w:ascii="Times New Roman" w:hAnsi="宋体"/>
          <w:b/>
          <w:sz w:val="24"/>
          <w:szCs w:val="24"/>
        </w:rPr>
        <w:t>公司</w:t>
      </w:r>
      <w:r>
        <w:rPr>
          <w:rFonts w:ascii="Times New Roman" w:hAnsi="宋体"/>
          <w:sz w:val="24"/>
          <w:szCs w:val="24"/>
        </w:rPr>
        <w:t>与</w:t>
      </w:r>
      <w:r>
        <w:rPr>
          <w:rFonts w:ascii="Times New Roman" w:hAnsi="宋体"/>
          <w:b/>
          <w:sz w:val="24"/>
          <w:szCs w:val="24"/>
        </w:rPr>
        <w:t>现有股东</w:t>
      </w:r>
      <w:r>
        <w:rPr>
          <w:rFonts w:ascii="Times New Roman" w:hAnsi="宋体"/>
          <w:sz w:val="24"/>
          <w:szCs w:val="24"/>
        </w:rPr>
        <w:t>签署及履行</w:t>
      </w:r>
      <w:r>
        <w:rPr>
          <w:rFonts w:ascii="Times New Roman" w:hAnsi="宋体"/>
          <w:b/>
          <w:sz w:val="24"/>
          <w:szCs w:val="24"/>
        </w:rPr>
        <w:t>本协议</w:t>
      </w:r>
      <w:r>
        <w:rPr>
          <w:rFonts w:ascii="Times New Roman" w:hAnsi="宋体"/>
          <w:sz w:val="24"/>
          <w:szCs w:val="24"/>
        </w:rPr>
        <w:t>不违反其在</w:t>
      </w:r>
      <w:r>
        <w:rPr>
          <w:rFonts w:ascii="Times New Roman" w:hAnsi="宋体"/>
          <w:b/>
          <w:sz w:val="24"/>
          <w:szCs w:val="24"/>
        </w:rPr>
        <w:t>本协议</w:t>
      </w:r>
      <w:r>
        <w:rPr>
          <w:rFonts w:ascii="Times New Roman" w:hAnsi="宋体"/>
          <w:sz w:val="24"/>
          <w:szCs w:val="24"/>
        </w:rPr>
        <w:t>签署前已与任何第三人签署的有约束力的协议，也不会违反其</w:t>
      </w:r>
      <w:r>
        <w:rPr>
          <w:rFonts w:ascii="Times New Roman" w:hAnsi="宋体"/>
          <w:b/>
          <w:sz w:val="24"/>
          <w:szCs w:val="24"/>
        </w:rPr>
        <w:t>公司</w:t>
      </w:r>
      <w:r>
        <w:rPr>
          <w:rFonts w:ascii="Times New Roman" w:hAnsi="宋体"/>
          <w:sz w:val="24"/>
          <w:szCs w:val="24"/>
        </w:rPr>
        <w:t>章程或任何法律。</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股权结构</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kern w:val="0"/>
          <w:sz w:val="24"/>
          <w:szCs w:val="24"/>
        </w:rPr>
        <w:t>公司</w:t>
      </w:r>
      <w:r>
        <w:rPr>
          <w:rFonts w:ascii="Times New Roman" w:hAnsi="宋体"/>
          <w:sz w:val="24"/>
          <w:szCs w:val="24"/>
        </w:rPr>
        <w:t>从未以任何形式向任何人承诺或实际发行过任何股权、债券、认股权、期权或性质相同或类似的权益。</w:t>
      </w:r>
      <w:r>
        <w:rPr>
          <w:rFonts w:ascii="Times New Roman" w:hAnsi="宋体"/>
          <w:b/>
          <w:sz w:val="24"/>
          <w:szCs w:val="24"/>
        </w:rPr>
        <w:t>现有股东</w:t>
      </w:r>
      <w:r>
        <w:rPr>
          <w:rFonts w:ascii="Times New Roman" w:hAnsi="宋体"/>
          <w:sz w:val="24"/>
          <w:szCs w:val="24"/>
        </w:rPr>
        <w:t>持有的</w:t>
      </w:r>
      <w:r>
        <w:rPr>
          <w:rFonts w:ascii="Times New Roman" w:hAnsi="宋体"/>
          <w:b/>
          <w:kern w:val="0"/>
          <w:sz w:val="24"/>
          <w:szCs w:val="24"/>
        </w:rPr>
        <w:t>公司</w:t>
      </w:r>
      <w:r>
        <w:rPr>
          <w:rFonts w:ascii="Times New Roman" w:hAnsi="宋体"/>
          <w:sz w:val="24"/>
          <w:szCs w:val="24"/>
        </w:rPr>
        <w:t>股权也不存在质押、法院查封、第三方权益或任何其他权利负担</w:t>
      </w:r>
      <w:r>
        <w:rPr>
          <w:rFonts w:ascii="Times New Roman" w:hAnsi="宋体"/>
          <w:color w:val="000000"/>
          <w:sz w:val="24"/>
          <w:szCs w:val="24"/>
        </w:rPr>
        <w:t>。</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关键员工劳动协议</w:t>
      </w:r>
      <w:r>
        <w:rPr>
          <w:rFonts w:ascii="Times New Roman" w:hAnsi="宋体"/>
          <w:sz w:val="24"/>
          <w:szCs w:val="24"/>
        </w:rPr>
        <w:t>。</w:t>
      </w:r>
      <w:r>
        <w:rPr>
          <w:rFonts w:ascii="Times New Roman" w:hAnsi="宋体"/>
          <w:kern w:val="0"/>
          <w:sz w:val="24"/>
          <w:szCs w:val="24"/>
        </w:rPr>
        <w:t>关键员工与</w:t>
      </w:r>
      <w:r>
        <w:rPr>
          <w:rFonts w:ascii="Times New Roman" w:hAnsi="宋体"/>
          <w:b/>
          <w:kern w:val="0"/>
          <w:sz w:val="24"/>
          <w:szCs w:val="24"/>
        </w:rPr>
        <w:t>公司</w:t>
      </w:r>
      <w:r>
        <w:rPr>
          <w:rFonts w:ascii="Times New Roman" w:hAnsi="宋体"/>
          <w:kern w:val="0"/>
          <w:sz w:val="24"/>
          <w:szCs w:val="24"/>
        </w:rPr>
        <w:t>已签署包括劳动关系、竞业禁止、不劝诱、知识产权转让和保密义务等内容的劳动法律文件。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债务及担保</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披露的重大负债或索赔；除向</w:t>
      </w:r>
      <w:r>
        <w:rPr>
          <w:rFonts w:ascii="Times New Roman" w:hAnsi="宋体"/>
          <w:b/>
          <w:sz w:val="24"/>
          <w:szCs w:val="24"/>
        </w:rPr>
        <w:t>投资人</w:t>
      </w:r>
      <w:r>
        <w:rPr>
          <w:rFonts w:ascii="Times New Roman" w:hAnsi="宋体"/>
          <w:sz w:val="24"/>
          <w:szCs w:val="24"/>
        </w:rPr>
        <w:t>披露的以外，</w:t>
      </w:r>
      <w:r>
        <w:rPr>
          <w:rFonts w:ascii="Times New Roman" w:hAnsi="宋体"/>
          <w:b/>
          <w:sz w:val="24"/>
          <w:szCs w:val="24"/>
        </w:rPr>
        <w:t>公司</w:t>
      </w:r>
      <w:r>
        <w:rPr>
          <w:rFonts w:ascii="Times New Roman" w:hAnsi="宋体"/>
          <w:sz w:val="24"/>
          <w:szCs w:val="24"/>
        </w:rPr>
        <w:t>并无任何以</w:t>
      </w:r>
      <w:r>
        <w:rPr>
          <w:rFonts w:ascii="Times New Roman" w:hAnsi="宋体"/>
          <w:b/>
          <w:sz w:val="24"/>
          <w:szCs w:val="24"/>
        </w:rPr>
        <w:t>公司</w:t>
      </w:r>
      <w:r>
        <w:rPr>
          <w:rFonts w:ascii="Times New Roman" w:hAnsi="宋体"/>
          <w:sz w:val="24"/>
          <w:szCs w:val="24"/>
        </w:rPr>
        <w:t>资产进行的保证、抵押、质押或其他形式的担保。</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b/>
          <w:sz w:val="24"/>
          <w:szCs w:val="24"/>
          <w:u w:val="single"/>
        </w:rPr>
        <w:t>公司</w:t>
      </w:r>
      <w:r>
        <w:rPr>
          <w:rFonts w:ascii="Times New Roman" w:hAnsi="宋体"/>
          <w:sz w:val="24"/>
          <w:szCs w:val="24"/>
          <w:u w:val="single"/>
        </w:rPr>
        <w:t>资产无重大瑕疵。</w:t>
      </w:r>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所有的资产包括财产和权利，无任何未向</w:t>
      </w:r>
      <w:r>
        <w:rPr>
          <w:rFonts w:ascii="Times New Roman" w:hAnsi="宋体"/>
          <w:b/>
          <w:sz w:val="24"/>
          <w:szCs w:val="24"/>
        </w:rPr>
        <w:t>投资人</w:t>
      </w:r>
      <w:r>
        <w:rPr>
          <w:rFonts w:ascii="Times New Roman" w:hAnsi="宋体"/>
          <w:sz w:val="24"/>
          <w:szCs w:val="24"/>
        </w:rPr>
        <w:t>披露的重大权利瑕疵或限制。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8" w:name="_Toc279192730"/>
      <w:r>
        <w:rPr>
          <w:rFonts w:ascii="Times New Roman" w:hAnsi="宋体"/>
          <w:sz w:val="24"/>
          <w:szCs w:val="24"/>
          <w:u w:val="single"/>
        </w:rPr>
        <w:t>信息披露</w:t>
      </w:r>
      <w:bookmarkEnd w:id="8"/>
      <w:r>
        <w:rPr>
          <w:rFonts w:ascii="Times New Roman" w:hAnsi="宋体"/>
          <w:sz w:val="24"/>
          <w:szCs w:val="24"/>
        </w:rPr>
        <w:t>。</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披露了商业计划、关联交易，以及其他可能影响投资决策的信息，并保证前述披露和信息是真实、准确和完整的，在</w:t>
      </w:r>
      <w:r>
        <w:rPr>
          <w:rFonts w:ascii="Times New Roman" w:hAnsi="宋体"/>
          <w:b/>
          <w:sz w:val="24"/>
          <w:szCs w:val="24"/>
        </w:rPr>
        <w:t>投资人</w:t>
      </w:r>
      <w:r>
        <w:rPr>
          <w:rFonts w:ascii="Times New Roman" w:hAnsi="宋体"/>
          <w:sz w:val="24"/>
          <w:szCs w:val="24"/>
        </w:rPr>
        <w:t>要求的情况下，</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已提供相关文件。</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9" w:name="_Toc279192731"/>
      <w:r>
        <w:rPr>
          <w:rFonts w:ascii="Times New Roman" w:hAnsi="宋体"/>
          <w:b/>
          <w:sz w:val="24"/>
          <w:szCs w:val="24"/>
          <w:u w:val="single"/>
        </w:rPr>
        <w:t>公司</w:t>
      </w:r>
      <w:r>
        <w:rPr>
          <w:rFonts w:ascii="Times New Roman" w:hAnsi="宋体"/>
          <w:sz w:val="24"/>
          <w:szCs w:val="24"/>
          <w:u w:val="single"/>
        </w:rPr>
        <w:t>合法经营</w:t>
      </w:r>
      <w:bookmarkEnd w:id="9"/>
      <w:r>
        <w:rPr>
          <w:rFonts w:ascii="Times New Roman" w:hAnsi="宋体"/>
          <w:sz w:val="24"/>
          <w:szCs w:val="24"/>
        </w:rPr>
        <w:t>。</w:t>
      </w:r>
      <w:bookmarkStart w:id="10" w:name="_Toc279192732"/>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保证，</w:t>
      </w:r>
      <w:r>
        <w:rPr>
          <w:rFonts w:ascii="Times New Roman" w:hAnsi="宋体"/>
          <w:b/>
          <w:sz w:val="24"/>
          <w:szCs w:val="24"/>
        </w:rPr>
        <w:t>公司</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生效时拥有其经营所必需的证照、批文、授权和许可，不存在已知的可能导致政府机构中止、修改或撤销前述证照、批文、授权和许可的情况。</w:t>
      </w:r>
      <w:bookmarkEnd w:id="10"/>
      <w:r>
        <w:rPr>
          <w:rFonts w:ascii="Times New Roman" w:hAnsi="宋体"/>
          <w:b/>
          <w:sz w:val="24"/>
          <w:szCs w:val="24"/>
        </w:rPr>
        <w:t>公司</w:t>
      </w:r>
      <w:r>
        <w:rPr>
          <w:rFonts w:ascii="Times New Roman" w:hAnsi="宋体"/>
          <w:sz w:val="24"/>
          <w:szCs w:val="24"/>
        </w:rPr>
        <w:t>自其成立至今均依法经营，不存在违反或者可能违反法律规定的情况。</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u w:val="single"/>
        </w:rPr>
      </w:pPr>
      <w:bookmarkStart w:id="11" w:name="_Toc279192734"/>
      <w:r>
        <w:rPr>
          <w:rFonts w:ascii="Times New Roman" w:hAnsi="宋体"/>
          <w:sz w:val="24"/>
          <w:szCs w:val="24"/>
          <w:u w:val="single"/>
        </w:rPr>
        <w:t>税务</w:t>
      </w:r>
      <w:bookmarkEnd w:id="11"/>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就税款的支付、扣缴、免除及代扣代缴等方面遵守了相关法律的要求，不会发生重大不利影响；公司不存在任何针对</w:t>
      </w:r>
      <w:r>
        <w:rPr>
          <w:rFonts w:ascii="Times New Roman" w:hAnsi="宋体"/>
          <w:b/>
          <w:sz w:val="24"/>
          <w:szCs w:val="24"/>
        </w:rPr>
        <w:t>公司</w:t>
      </w:r>
      <w:r>
        <w:rPr>
          <w:rFonts w:ascii="Times New Roman" w:hAnsi="宋体"/>
          <w:sz w:val="24"/>
          <w:szCs w:val="24"/>
        </w:rPr>
        <w:t>税务事项的指控、调查、追索以及未执行完毕的处罚。</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bookmarkStart w:id="12" w:name="_Toc279192735"/>
      <w:r>
        <w:rPr>
          <w:rFonts w:ascii="Times New Roman" w:hAnsi="宋体"/>
          <w:sz w:val="24"/>
          <w:szCs w:val="24"/>
          <w:u w:val="single"/>
        </w:rPr>
        <w:t>知识产权</w:t>
      </w:r>
      <w:bookmarkEnd w:id="12"/>
      <w:r>
        <w:rPr>
          <w:rFonts w:ascii="Times New Roman" w:hAnsi="宋体"/>
          <w:sz w:val="24"/>
          <w:szCs w:val="24"/>
        </w:rPr>
        <w:t>。除在附件一</w:t>
      </w:r>
      <w:r>
        <w:rPr>
          <w:rFonts w:hint="eastAsia" w:ascii="Times New Roman" w:hAnsi="宋体"/>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对其主营业务中涉及的知识产权拥有合法的权利，并已采取合理的手段来保护；</w:t>
      </w:r>
      <w:r>
        <w:rPr>
          <w:rFonts w:ascii="Times New Roman" w:hAnsi="宋体"/>
          <w:b/>
          <w:sz w:val="24"/>
          <w:szCs w:val="24"/>
        </w:rPr>
        <w:t>公司</w:t>
      </w:r>
      <w:r>
        <w:rPr>
          <w:rFonts w:ascii="Times New Roman" w:hAnsi="宋体"/>
          <w:sz w:val="24"/>
          <w:szCs w:val="24"/>
        </w:rPr>
        <w:t>已经进行了合理的安排，以使其员工因职务发明或创作产生的知识产权归</w:t>
      </w:r>
      <w:r>
        <w:rPr>
          <w:rFonts w:ascii="Times New Roman" w:hAnsi="宋体"/>
          <w:b/>
          <w:sz w:val="24"/>
          <w:szCs w:val="24"/>
        </w:rPr>
        <w:t>公司</w:t>
      </w:r>
      <w:r>
        <w:rPr>
          <w:rFonts w:ascii="Times New Roman" w:hAnsi="宋体"/>
          <w:sz w:val="24"/>
          <w:szCs w:val="24"/>
        </w:rPr>
        <w:t>所有；对于</w:t>
      </w:r>
      <w:r>
        <w:rPr>
          <w:rFonts w:ascii="Times New Roman" w:hAnsi="宋体"/>
          <w:b/>
          <w:sz w:val="24"/>
          <w:szCs w:val="24"/>
        </w:rPr>
        <w:t>公司</w:t>
      </w:r>
      <w:r>
        <w:rPr>
          <w:rFonts w:ascii="Times New Roman" w:hAnsi="宋体"/>
          <w:sz w:val="24"/>
          <w:szCs w:val="24"/>
        </w:rPr>
        <w:t>有重大影响的知识产权，不侵犯任何第三人的权利或与之相冲突。</w:t>
      </w:r>
    </w:p>
    <w:p>
      <w:pPr>
        <w:pStyle w:val="20"/>
        <w:numPr>
          <w:ilvl w:val="0"/>
          <w:numId w:val="10"/>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诉讼与行政调查</w:t>
      </w:r>
      <w:r>
        <w:rPr>
          <w:rFonts w:ascii="Times New Roman" w:hAnsi="宋体"/>
          <w:sz w:val="24"/>
          <w:szCs w:val="24"/>
        </w:rPr>
        <w:t>。</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披露的，针对</w:t>
      </w:r>
      <w:r>
        <w:rPr>
          <w:rFonts w:ascii="Times New Roman" w:hAnsi="宋体"/>
          <w:b/>
          <w:sz w:val="24"/>
          <w:szCs w:val="24"/>
        </w:rPr>
        <w:t>创始人</w:t>
      </w:r>
      <w:r>
        <w:rPr>
          <w:rFonts w:ascii="Times New Roman" w:hAnsi="宋体"/>
          <w:sz w:val="24"/>
          <w:szCs w:val="24"/>
        </w:rPr>
        <w:t>或</w:t>
      </w:r>
      <w:r>
        <w:rPr>
          <w:rFonts w:ascii="Times New Roman" w:hAnsi="宋体"/>
          <w:b/>
          <w:sz w:val="24"/>
          <w:szCs w:val="24"/>
        </w:rPr>
        <w:t>公司</w:t>
      </w:r>
      <w:r>
        <w:rPr>
          <w:rFonts w:ascii="Times New Roman" w:hAnsi="宋体"/>
          <w:sz w:val="24"/>
          <w:szCs w:val="24"/>
        </w:rPr>
        <w:t>的未决诉讼或仲裁以及未履行的裁判、裁决或行政调查、处罚。</w:t>
      </w:r>
    </w:p>
    <w:p>
      <w:pPr>
        <w:pStyle w:val="3"/>
        <w:numPr>
          <w:ilvl w:val="1"/>
          <w:numId w:val="7"/>
        </w:numPr>
        <w:rPr>
          <w:rFonts w:ascii="宋体" w:hAnsi="宋体" w:eastAsia="宋体"/>
          <w:b/>
        </w:rPr>
      </w:pPr>
      <w:bookmarkStart w:id="13" w:name="_Toc405278769"/>
      <w:r>
        <w:rPr>
          <w:rFonts w:ascii="宋体" w:hAnsi="宋体" w:eastAsia="宋体"/>
          <w:b/>
        </w:rPr>
        <w:t>投资人的陈述和保证</w:t>
      </w:r>
      <w:bookmarkEnd w:id="13"/>
    </w:p>
    <w:p>
      <w:pPr>
        <w:rPr>
          <w:rFonts w:ascii="Times New Roman" w:hAnsi="Times New Roman"/>
          <w:sz w:val="24"/>
          <w:szCs w:val="24"/>
        </w:rPr>
      </w:pPr>
    </w:p>
    <w:p>
      <w:pPr>
        <w:pStyle w:val="20"/>
        <w:numPr>
          <w:ilvl w:val="0"/>
          <w:numId w:val="11"/>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sz w:val="24"/>
          <w:szCs w:val="24"/>
          <w:u w:val="single"/>
        </w:rPr>
        <w:t>资格与能力</w:t>
      </w:r>
      <w:r>
        <w:rPr>
          <w:rFonts w:ascii="Times New Roman" w:hAnsi="宋体"/>
          <w:sz w:val="24"/>
          <w:szCs w:val="24"/>
        </w:rPr>
        <w:t>。</w:t>
      </w:r>
      <w:r>
        <w:rPr>
          <w:rFonts w:ascii="Times New Roman" w:hAnsi="宋体"/>
          <w:b/>
          <w:sz w:val="24"/>
          <w:szCs w:val="24"/>
        </w:rPr>
        <w:t>投资人</w:t>
      </w:r>
      <w:r>
        <w:rPr>
          <w:rFonts w:ascii="Times New Roman" w:hAnsi="宋体"/>
          <w:sz w:val="24"/>
          <w:szCs w:val="24"/>
        </w:rPr>
        <w:t>具有相应的资格和民事行为能力，并具备充分的权限签署和履行</w:t>
      </w:r>
      <w:r>
        <w:rPr>
          <w:rFonts w:ascii="Times New Roman" w:hAnsi="宋体"/>
          <w:b/>
          <w:sz w:val="24"/>
          <w:szCs w:val="24"/>
        </w:rPr>
        <w:t>本协议</w:t>
      </w:r>
      <w:r>
        <w:rPr>
          <w:rFonts w:ascii="Times New Roman" w:hAnsi="宋体"/>
          <w:sz w:val="24"/>
          <w:szCs w:val="24"/>
        </w:rPr>
        <w:t>。</w:t>
      </w:r>
      <w:r>
        <w:rPr>
          <w:rFonts w:ascii="Times New Roman" w:hAnsi="宋体"/>
          <w:b/>
          <w:sz w:val="24"/>
          <w:szCs w:val="24"/>
        </w:rPr>
        <w:t>投资人</w:t>
      </w:r>
      <w:r>
        <w:rPr>
          <w:rFonts w:ascii="Times New Roman" w:hAnsi="宋体"/>
          <w:sz w:val="24"/>
          <w:szCs w:val="24"/>
        </w:rPr>
        <w:t>签署并履行</w:t>
      </w:r>
      <w:r>
        <w:rPr>
          <w:rFonts w:ascii="Times New Roman" w:hAnsi="宋体"/>
          <w:b/>
          <w:kern w:val="0"/>
          <w:sz w:val="24"/>
          <w:szCs w:val="24"/>
        </w:rPr>
        <w:t>本协议</w:t>
      </w:r>
      <w:r>
        <w:rPr>
          <w:rFonts w:ascii="Times New Roman" w:hAnsi="宋体"/>
          <w:sz w:val="24"/>
          <w:szCs w:val="24"/>
        </w:rPr>
        <w:t>不会违反有关法律，亦不会与其签署的其他合同或者协议发生冲突。</w:t>
      </w:r>
    </w:p>
    <w:p>
      <w:pPr>
        <w:pStyle w:val="20"/>
        <w:numPr>
          <w:ilvl w:val="0"/>
          <w:numId w:val="11"/>
        </w:numPr>
        <w:tabs>
          <w:tab w:val="left" w:pos="1276"/>
        </w:tabs>
        <w:adjustRightInd w:val="0"/>
        <w:snapToGrid w:val="0"/>
        <w:spacing w:after="156" w:afterLines="50" w:line="440" w:lineRule="exact"/>
        <w:ind w:left="1276" w:hanging="425" w:firstLineChars="0"/>
        <w:outlineLvl w:val="3"/>
        <w:rPr>
          <w:rFonts w:ascii="Times New Roman" w:hAnsi="Times New Roman"/>
          <w:sz w:val="24"/>
          <w:szCs w:val="24"/>
        </w:rPr>
      </w:pPr>
      <w:r>
        <w:rPr>
          <w:rFonts w:ascii="Times New Roman" w:hAnsi="宋体"/>
          <w:b/>
          <w:sz w:val="24"/>
          <w:szCs w:val="24"/>
          <w:u w:val="single"/>
        </w:rPr>
        <w:t>投资款</w:t>
      </w:r>
      <w:r>
        <w:rPr>
          <w:rFonts w:ascii="Times New Roman" w:hAnsi="宋体"/>
          <w:sz w:val="24"/>
          <w:szCs w:val="24"/>
          <w:u w:val="single"/>
        </w:rPr>
        <w:t>的合法性</w:t>
      </w:r>
      <w:r>
        <w:rPr>
          <w:rFonts w:ascii="Times New Roman" w:hAnsi="宋体"/>
          <w:sz w:val="24"/>
          <w:szCs w:val="24"/>
        </w:rPr>
        <w:t>。</w:t>
      </w:r>
      <w:r>
        <w:rPr>
          <w:rFonts w:ascii="Times New Roman" w:hAnsi="宋体"/>
          <w:b/>
          <w:sz w:val="24"/>
          <w:szCs w:val="24"/>
        </w:rPr>
        <w:t>投资人</w:t>
      </w:r>
      <w:r>
        <w:rPr>
          <w:rFonts w:ascii="Times New Roman" w:hAnsi="宋体"/>
          <w:sz w:val="24"/>
          <w:szCs w:val="24"/>
        </w:rPr>
        <w:t>保证其依据</w:t>
      </w:r>
      <w:r>
        <w:rPr>
          <w:rFonts w:ascii="Times New Roman" w:hAnsi="宋体"/>
          <w:b/>
          <w:kern w:val="0"/>
          <w:sz w:val="24"/>
          <w:szCs w:val="24"/>
        </w:rPr>
        <w:t>本协议</w:t>
      </w:r>
      <w:r>
        <w:rPr>
          <w:rFonts w:ascii="Times New Roman" w:hAnsi="宋体"/>
          <w:sz w:val="24"/>
          <w:szCs w:val="24"/>
        </w:rPr>
        <w:t>认购</w:t>
      </w:r>
      <w:r>
        <w:rPr>
          <w:rFonts w:ascii="Times New Roman" w:hAnsi="宋体"/>
          <w:b/>
          <w:sz w:val="24"/>
          <w:szCs w:val="24"/>
        </w:rPr>
        <w:t>公司</w:t>
      </w:r>
      <w:r>
        <w:rPr>
          <w:rFonts w:ascii="Times New Roman" w:hAnsi="宋体"/>
          <w:sz w:val="24"/>
          <w:szCs w:val="24"/>
        </w:rPr>
        <w:t>相应股权的</w:t>
      </w:r>
      <w:r>
        <w:rPr>
          <w:rFonts w:ascii="Times New Roman" w:hAnsi="宋体"/>
          <w:b/>
          <w:sz w:val="24"/>
          <w:szCs w:val="24"/>
        </w:rPr>
        <w:t>投资款</w:t>
      </w:r>
      <w:r>
        <w:rPr>
          <w:rFonts w:ascii="Times New Roman" w:hAnsi="宋体"/>
          <w:sz w:val="24"/>
          <w:szCs w:val="24"/>
        </w:rPr>
        <w:t>来源合法。</w:t>
      </w:r>
    </w:p>
    <w:p>
      <w:pPr>
        <w:pStyle w:val="2"/>
        <w:numPr>
          <w:ilvl w:val="0"/>
          <w:numId w:val="6"/>
        </w:numPr>
        <w:jc w:val="center"/>
        <w:rPr>
          <w:rFonts w:ascii="Times New Roman" w:hAnsi="宋体"/>
          <w:sz w:val="24"/>
          <w:szCs w:val="24"/>
        </w:rPr>
      </w:pPr>
      <w:bookmarkStart w:id="14" w:name="_Toc405278770"/>
      <w:r>
        <w:rPr>
          <w:rFonts w:hint="eastAsia" w:ascii="Times New Roman" w:hAnsi="宋体"/>
          <w:sz w:val="24"/>
          <w:szCs w:val="24"/>
        </w:rPr>
        <w:t>创始人的</w:t>
      </w:r>
      <w:r>
        <w:rPr>
          <w:rFonts w:ascii="Times New Roman" w:hAnsi="宋体"/>
          <w:sz w:val="24"/>
          <w:szCs w:val="24"/>
        </w:rPr>
        <w:t>权利</w:t>
      </w:r>
      <w:r>
        <w:rPr>
          <w:rFonts w:hint="eastAsia" w:ascii="Times New Roman" w:hAnsi="宋体"/>
          <w:sz w:val="24"/>
          <w:szCs w:val="24"/>
        </w:rPr>
        <w:t>限制</w:t>
      </w:r>
      <w:bookmarkEnd w:id="14"/>
    </w:p>
    <w:p>
      <w:pPr>
        <w:pStyle w:val="3"/>
        <w:numPr>
          <w:ilvl w:val="1"/>
          <w:numId w:val="7"/>
        </w:numPr>
        <w:rPr>
          <w:rFonts w:ascii="宋体" w:hAnsi="宋体" w:eastAsia="宋体"/>
          <w:b/>
        </w:rPr>
      </w:pPr>
      <w:bookmarkStart w:id="15" w:name="_Toc405278771"/>
      <w:r>
        <w:rPr>
          <w:rFonts w:ascii="宋体" w:hAnsi="宋体" w:eastAsia="宋体"/>
          <w:b/>
        </w:rPr>
        <w:t>股权的成熟</w:t>
      </w:r>
      <w:bookmarkEnd w:id="15"/>
    </w:p>
    <w:p>
      <w:pPr>
        <w:pStyle w:val="20"/>
        <w:ind w:left="499" w:firstLine="0" w:firstLineChars="0"/>
        <w:rPr>
          <w:rFonts w:ascii="Times New Roman" w:hAnsi="Times New Roman"/>
          <w:b/>
          <w:sz w:val="24"/>
          <w:szCs w:val="24"/>
        </w:rPr>
      </w:pPr>
    </w:p>
    <w:p>
      <w:pPr>
        <w:pStyle w:val="20"/>
        <w:numPr>
          <w:ilvl w:val="1"/>
          <w:numId w:val="12"/>
        </w:numPr>
        <w:spacing w:line="440" w:lineRule="exact"/>
        <w:ind w:left="851" w:hanging="397" w:firstLineChars="0"/>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同意，</w:t>
      </w:r>
      <w:r>
        <w:rPr>
          <w:rFonts w:hint="eastAsia" w:ascii="Times New Roman" w:hAnsi="宋体"/>
          <w:kern w:val="0"/>
          <w:sz w:val="24"/>
          <w:szCs w:val="24"/>
        </w:rPr>
        <w:t>如果截至股权成熟之日，创始人持续全职为公司工作，</w:t>
      </w:r>
      <w:r>
        <w:rPr>
          <w:rFonts w:ascii="Times New Roman" w:hAnsi="宋体"/>
          <w:kern w:val="0"/>
          <w:sz w:val="24"/>
          <w:szCs w:val="24"/>
        </w:rPr>
        <w:t>其所持有的全部</w:t>
      </w:r>
      <w:r>
        <w:rPr>
          <w:rFonts w:ascii="Times New Roman" w:hAnsi="宋体"/>
          <w:b/>
          <w:kern w:val="0"/>
          <w:sz w:val="24"/>
          <w:szCs w:val="24"/>
        </w:rPr>
        <w:t>公司</w:t>
      </w:r>
      <w:r>
        <w:rPr>
          <w:rFonts w:ascii="Times New Roman" w:hAnsi="宋体"/>
          <w:kern w:val="0"/>
          <w:sz w:val="24"/>
          <w:szCs w:val="24"/>
        </w:rPr>
        <w:t>股权自</w:t>
      </w:r>
      <w:r>
        <w:rPr>
          <w:rFonts w:ascii="Times New Roman" w:hAnsi="宋体"/>
          <w:b/>
          <w:kern w:val="0"/>
          <w:sz w:val="24"/>
          <w:szCs w:val="24"/>
        </w:rPr>
        <w:t>本协议</w:t>
      </w:r>
      <w:r>
        <w:rPr>
          <w:rFonts w:hint="eastAsia" w:ascii="Times New Roman" w:hAnsi="宋体"/>
          <w:kern w:val="0"/>
          <w:sz w:val="24"/>
          <w:szCs w:val="24"/>
        </w:rPr>
        <w:t>生效</w:t>
      </w:r>
      <w:r>
        <w:rPr>
          <w:rFonts w:ascii="Times New Roman" w:hAnsi="宋体"/>
          <w:kern w:val="0"/>
          <w:sz w:val="24"/>
          <w:szCs w:val="24"/>
        </w:rPr>
        <w:t>之日起分</w:t>
      </w:r>
      <w:r>
        <w:rPr>
          <w:rFonts w:hint="eastAsia" w:ascii="Times New Roman" w:hAnsi="宋体"/>
          <w:kern w:val="0"/>
          <w:sz w:val="24"/>
          <w:szCs w:val="24"/>
        </w:rPr>
        <w:t>[</w:t>
      </w:r>
      <w:r>
        <w:rPr>
          <w:rFonts w:ascii="Times New Roman" w:hAnsi="Times New Roman"/>
          <w:kern w:val="0"/>
          <w:sz w:val="24"/>
          <w:szCs w:val="24"/>
        </w:rPr>
        <w:t>4</w:t>
      </w:r>
      <w:r>
        <w:rPr>
          <w:rFonts w:hint="eastAsia" w:ascii="Times New Roman" w:hAnsi="Times New Roman"/>
          <w:kern w:val="0"/>
          <w:sz w:val="24"/>
          <w:szCs w:val="24"/>
        </w:rPr>
        <w:t>]</w:t>
      </w:r>
      <w:r>
        <w:rPr>
          <w:rFonts w:ascii="Times New Roman" w:hAnsi="宋体"/>
          <w:kern w:val="0"/>
          <w:sz w:val="24"/>
          <w:szCs w:val="24"/>
        </w:rPr>
        <w:t>年成熟</w:t>
      </w:r>
      <w:r>
        <w:rPr>
          <w:rFonts w:hint="eastAsia" w:ascii="Times New Roman" w:hAnsi="宋体"/>
          <w:kern w:val="0"/>
          <w:sz w:val="24"/>
          <w:szCs w:val="24"/>
        </w:rPr>
        <w:t>。其中，满[2]年成熟[50%]，满[3]年成熟[75%]，满[4]年</w:t>
      </w:r>
      <w:r>
        <w:rPr>
          <w:rFonts w:ascii="Times New Roman" w:hAnsi="宋体"/>
          <w:kern w:val="0"/>
          <w:sz w:val="24"/>
          <w:szCs w:val="24"/>
        </w:rPr>
        <w:t>成熟</w:t>
      </w:r>
      <w:r>
        <w:rPr>
          <w:rFonts w:hint="eastAsia" w:ascii="Times New Roman" w:hAnsi="宋体"/>
          <w:kern w:val="0"/>
          <w:sz w:val="24"/>
          <w:szCs w:val="24"/>
        </w:rPr>
        <w:t>[</w:t>
      </w:r>
      <w:r>
        <w:rPr>
          <w:rFonts w:hint="eastAsia" w:ascii="Times New Roman" w:hAnsi="Times New Roman"/>
          <w:kern w:val="0"/>
          <w:sz w:val="24"/>
          <w:szCs w:val="24"/>
        </w:rPr>
        <w:t>100</w:t>
      </w:r>
      <w:r>
        <w:rPr>
          <w:rFonts w:ascii="Times New Roman" w:hAnsi="Times New Roman"/>
          <w:kern w:val="0"/>
          <w:sz w:val="24"/>
          <w:szCs w:val="24"/>
        </w:rPr>
        <w:t>%</w:t>
      </w:r>
      <w:r>
        <w:rPr>
          <w:rFonts w:hint="eastAsia" w:ascii="Times New Roman" w:hAnsi="Times New Roman"/>
          <w:kern w:val="0"/>
          <w:sz w:val="24"/>
          <w:szCs w:val="24"/>
        </w:rPr>
        <w:t>]</w:t>
      </w:r>
      <w:r>
        <w:rPr>
          <w:rFonts w:ascii="Times New Roman" w:hAnsi="宋体"/>
          <w:kern w:val="0"/>
          <w:sz w:val="24"/>
          <w:szCs w:val="24"/>
        </w:rPr>
        <w:t>。</w:t>
      </w:r>
    </w:p>
    <w:p>
      <w:pPr>
        <w:pStyle w:val="20"/>
        <w:numPr>
          <w:ilvl w:val="1"/>
          <w:numId w:val="12"/>
        </w:numPr>
        <w:spacing w:line="440" w:lineRule="exact"/>
        <w:ind w:left="851" w:hanging="397" w:firstLineChars="0"/>
        <w:rPr>
          <w:rFonts w:ascii="Times New Roman" w:hAnsi="Times New Roman"/>
          <w:kern w:val="0"/>
          <w:sz w:val="24"/>
          <w:szCs w:val="24"/>
        </w:rPr>
      </w:pPr>
      <w:r>
        <w:rPr>
          <w:rFonts w:ascii="Times New Roman" w:hAnsi="宋体"/>
          <w:kern w:val="0"/>
          <w:sz w:val="24"/>
          <w:szCs w:val="24"/>
        </w:rPr>
        <w:t>在</w:t>
      </w:r>
      <w:r>
        <w:rPr>
          <w:rFonts w:ascii="Times New Roman" w:hAnsi="宋体"/>
          <w:b/>
          <w:kern w:val="0"/>
          <w:sz w:val="24"/>
          <w:szCs w:val="24"/>
        </w:rPr>
        <w:t>创始人</w:t>
      </w:r>
      <w:r>
        <w:rPr>
          <w:rFonts w:hint="eastAsia" w:ascii="Times New Roman" w:hAnsi="宋体"/>
          <w:b/>
          <w:kern w:val="0"/>
          <w:sz w:val="24"/>
          <w:szCs w:val="24"/>
        </w:rPr>
        <w:t>股东</w:t>
      </w:r>
      <w:r>
        <w:rPr>
          <w:rFonts w:ascii="Times New Roman" w:hAnsi="宋体"/>
          <w:kern w:val="0"/>
          <w:sz w:val="24"/>
          <w:szCs w:val="24"/>
        </w:rPr>
        <w:t>的股权成熟</w:t>
      </w:r>
      <w:r>
        <w:rPr>
          <w:rFonts w:hint="eastAsia" w:ascii="Times New Roman" w:hAnsi="宋体"/>
          <w:kern w:val="0"/>
          <w:sz w:val="24"/>
          <w:szCs w:val="24"/>
        </w:rPr>
        <w:t>之</w:t>
      </w:r>
      <w:r>
        <w:rPr>
          <w:rFonts w:ascii="Times New Roman" w:hAnsi="宋体"/>
          <w:kern w:val="0"/>
          <w:sz w:val="24"/>
          <w:szCs w:val="24"/>
        </w:rPr>
        <w:t>前，如发生以下</w:t>
      </w:r>
      <w:r>
        <w:rPr>
          <w:rFonts w:hint="eastAsia" w:ascii="Times New Roman" w:hAnsi="宋体"/>
          <w:kern w:val="0"/>
          <w:sz w:val="24"/>
          <w:szCs w:val="24"/>
        </w:rPr>
        <w:t>四</w:t>
      </w:r>
      <w:r>
        <w:rPr>
          <w:rFonts w:ascii="Times New Roman" w:hAnsi="宋体"/>
          <w:kern w:val="0"/>
          <w:sz w:val="24"/>
          <w:szCs w:val="24"/>
        </w:rPr>
        <w:t>种情况之一的，</w:t>
      </w:r>
      <w:r>
        <w:rPr>
          <w:rFonts w:hint="eastAsia" w:ascii="Times New Roman" w:hAnsi="宋体"/>
          <w:kern w:val="0"/>
          <w:sz w:val="24"/>
          <w:szCs w:val="24"/>
        </w:rPr>
        <w:t>该</w:t>
      </w:r>
      <w:r>
        <w:rPr>
          <w:rFonts w:ascii="Times New Roman" w:hAnsi="宋体"/>
          <w:b/>
          <w:kern w:val="0"/>
          <w:sz w:val="24"/>
          <w:szCs w:val="24"/>
        </w:rPr>
        <w:t>创始人</w:t>
      </w:r>
      <w:r>
        <w:rPr>
          <w:rFonts w:hint="eastAsia" w:ascii="Times New Roman" w:hAnsi="宋体"/>
          <w:kern w:val="0"/>
          <w:sz w:val="24"/>
          <w:szCs w:val="24"/>
        </w:rPr>
        <w:t>特此同意</w:t>
      </w:r>
      <w:r>
        <w:rPr>
          <w:rFonts w:ascii="Times New Roman" w:hAnsi="宋体"/>
          <w:kern w:val="0"/>
          <w:sz w:val="24"/>
          <w:szCs w:val="24"/>
        </w:rPr>
        <w:t>将以</w:t>
      </w:r>
      <w:r>
        <w:rPr>
          <w:rFonts w:ascii="Times New Roman" w:hAnsi="Times New Roman"/>
          <w:kern w:val="0"/>
          <w:sz w:val="24"/>
          <w:szCs w:val="24"/>
        </w:rPr>
        <w:t>1</w:t>
      </w:r>
      <w:r>
        <w:rPr>
          <w:rFonts w:ascii="Times New Roman" w:hAnsi="宋体"/>
          <w:kern w:val="0"/>
          <w:sz w:val="24"/>
          <w:szCs w:val="24"/>
        </w:rPr>
        <w:t>元人民币的价格（如法律就股权转让的最低价格另有强制性规定的，从其规定），将其未成熟的股权转让给</w:t>
      </w:r>
      <w:r>
        <w:rPr>
          <w:rFonts w:hint="eastAsia" w:ascii="Times New Roman" w:hAnsi="宋体"/>
          <w:b/>
          <w:kern w:val="0"/>
          <w:sz w:val="24"/>
          <w:szCs w:val="24"/>
        </w:rPr>
        <w:t>公司</w:t>
      </w:r>
      <w:r>
        <w:rPr>
          <w:rFonts w:hint="eastAsia" w:ascii="Times New Roman" w:hAnsi="宋体"/>
          <w:kern w:val="0"/>
          <w:sz w:val="24"/>
          <w:szCs w:val="24"/>
        </w:rPr>
        <w:t>指定人员，该等股权应计入</w:t>
      </w:r>
      <w:r>
        <w:rPr>
          <w:rFonts w:hint="eastAsia" w:ascii="Times New Roman" w:hAnsi="宋体"/>
          <w:b/>
          <w:kern w:val="0"/>
          <w:sz w:val="24"/>
          <w:szCs w:val="24"/>
        </w:rPr>
        <w:t>公司</w:t>
      </w:r>
      <w:r>
        <w:rPr>
          <w:rFonts w:hint="eastAsia" w:ascii="Times New Roman" w:hAnsi="宋体"/>
          <w:kern w:val="0"/>
          <w:sz w:val="24"/>
          <w:szCs w:val="24"/>
        </w:rPr>
        <w:t>激励股权池</w:t>
      </w:r>
      <w:r>
        <w:rPr>
          <w:rFonts w:ascii="Times New Roman" w:hAnsi="宋体"/>
          <w:kern w:val="0"/>
          <w:sz w:val="24"/>
          <w:szCs w:val="24"/>
        </w:rPr>
        <w:t>：</w:t>
      </w:r>
    </w:p>
    <w:p>
      <w:pPr>
        <w:pStyle w:val="20"/>
        <w:numPr>
          <w:ilvl w:val="0"/>
          <w:numId w:val="13"/>
        </w:numPr>
        <w:tabs>
          <w:tab w:val="left" w:pos="1276"/>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主动从</w:t>
      </w:r>
      <w:r>
        <w:rPr>
          <w:rFonts w:ascii="Times New Roman" w:hAnsi="宋体"/>
          <w:b/>
          <w:sz w:val="24"/>
          <w:szCs w:val="24"/>
        </w:rPr>
        <w:t>公司</w:t>
      </w:r>
      <w:r>
        <w:rPr>
          <w:rFonts w:ascii="Times New Roman" w:hAnsi="宋体"/>
          <w:sz w:val="24"/>
          <w:szCs w:val="24"/>
        </w:rPr>
        <w:t>离职的；</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因自身原因不能履行职务的；</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hint="eastAsia" w:ascii="Times New Roman" w:hAnsi="宋体"/>
          <w:sz w:val="24"/>
          <w:szCs w:val="24"/>
        </w:rPr>
        <w:t>严重违反全职工作、竞业禁止义务或泄露</w:t>
      </w:r>
      <w:r>
        <w:rPr>
          <w:rFonts w:hint="eastAsia" w:ascii="Times New Roman" w:hAnsi="宋体"/>
          <w:b/>
          <w:sz w:val="24"/>
          <w:szCs w:val="24"/>
        </w:rPr>
        <w:t>公司</w:t>
      </w:r>
      <w:r>
        <w:rPr>
          <w:rFonts w:hint="eastAsia" w:ascii="Times New Roman" w:hAnsi="宋体"/>
          <w:sz w:val="24"/>
          <w:szCs w:val="24"/>
        </w:rPr>
        <w:t>重大商业秘密；</w:t>
      </w:r>
      <w:r>
        <w:rPr>
          <w:rFonts w:ascii="Times New Roman" w:hAnsi="宋体"/>
          <w:sz w:val="24"/>
          <w:szCs w:val="24"/>
        </w:rPr>
        <w:t>或</w:t>
      </w:r>
    </w:p>
    <w:p>
      <w:pPr>
        <w:pStyle w:val="20"/>
        <w:numPr>
          <w:ilvl w:val="0"/>
          <w:numId w:val="13"/>
        </w:numPr>
        <w:tabs>
          <w:tab w:val="left" w:pos="1260"/>
        </w:tabs>
        <w:adjustRightInd w:val="0"/>
        <w:snapToGrid w:val="0"/>
        <w:spacing w:line="440" w:lineRule="exact"/>
        <w:ind w:left="1276" w:hanging="425" w:firstLineChars="0"/>
        <w:outlineLvl w:val="3"/>
        <w:rPr>
          <w:rFonts w:ascii="Times New Roman" w:hAnsi="Times New Roman"/>
          <w:sz w:val="24"/>
          <w:szCs w:val="24"/>
        </w:rPr>
      </w:pPr>
      <w:r>
        <w:rPr>
          <w:rFonts w:ascii="Times New Roman" w:hAnsi="宋体"/>
          <w:sz w:val="24"/>
          <w:szCs w:val="24"/>
        </w:rPr>
        <w:t>因故意或重大过失而</w:t>
      </w:r>
      <w:r>
        <w:rPr>
          <w:rFonts w:hint="eastAsia" w:ascii="Times New Roman" w:hAnsi="宋体"/>
          <w:sz w:val="24"/>
          <w:szCs w:val="24"/>
        </w:rPr>
        <w:t>给</w:t>
      </w:r>
      <w:r>
        <w:rPr>
          <w:rFonts w:hint="eastAsia" w:ascii="Times New Roman" w:hAnsi="宋体"/>
          <w:b/>
          <w:sz w:val="24"/>
          <w:szCs w:val="24"/>
        </w:rPr>
        <w:t>公司</w:t>
      </w:r>
      <w:r>
        <w:rPr>
          <w:rFonts w:hint="eastAsia" w:ascii="Times New Roman" w:hAnsi="宋体"/>
          <w:sz w:val="24"/>
          <w:szCs w:val="24"/>
        </w:rPr>
        <w:t>造成重大损失或不利影响的</w:t>
      </w:r>
      <w:r>
        <w:rPr>
          <w:rFonts w:ascii="Times New Roman" w:hAnsi="宋体"/>
          <w:sz w:val="24"/>
          <w:szCs w:val="24"/>
        </w:rPr>
        <w:t>。</w:t>
      </w:r>
    </w:p>
    <w:p>
      <w:pPr>
        <w:tabs>
          <w:tab w:val="left" w:pos="0"/>
          <w:tab w:val="left" w:pos="1260"/>
        </w:tabs>
        <w:adjustRightInd w:val="0"/>
        <w:snapToGrid w:val="0"/>
        <w:outlineLvl w:val="3"/>
        <w:rPr>
          <w:rFonts w:ascii="Times New Roman" w:hAnsi="Times New Roman"/>
          <w:sz w:val="24"/>
          <w:szCs w:val="24"/>
        </w:rPr>
      </w:pPr>
    </w:p>
    <w:p>
      <w:pPr>
        <w:pStyle w:val="20"/>
        <w:numPr>
          <w:ilvl w:val="1"/>
          <w:numId w:val="12"/>
        </w:numPr>
        <w:spacing w:line="440" w:lineRule="exact"/>
        <w:ind w:left="851" w:hanging="397" w:firstLineChars="0"/>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未成熟的股权，在因前款所述情况而转让前，仍享有</w:t>
      </w:r>
      <w:r>
        <w:rPr>
          <w:rFonts w:hint="eastAsia" w:ascii="Times New Roman" w:hAnsi="宋体"/>
          <w:kern w:val="0"/>
          <w:sz w:val="24"/>
          <w:szCs w:val="24"/>
        </w:rPr>
        <w:t>完整的</w:t>
      </w:r>
      <w:r>
        <w:rPr>
          <w:rFonts w:ascii="Times New Roman" w:hAnsi="宋体"/>
          <w:kern w:val="0"/>
          <w:sz w:val="24"/>
          <w:szCs w:val="24"/>
        </w:rPr>
        <w:t>股东分红权、表决权及其他相关股东权利。</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16" w:name="_Toc405278772"/>
      <w:r>
        <w:rPr>
          <w:rFonts w:ascii="宋体" w:hAnsi="宋体" w:eastAsia="宋体"/>
          <w:b/>
        </w:rPr>
        <w:t>股权转让限制</w:t>
      </w:r>
      <w:bookmarkEnd w:id="16"/>
    </w:p>
    <w:p>
      <w:pPr>
        <w:rPr>
          <w:rFonts w:ascii="Times New Roman" w:hAnsi="Times New Roman"/>
          <w:sz w:val="24"/>
          <w:szCs w:val="24"/>
        </w:rPr>
      </w:pPr>
    </w:p>
    <w:p>
      <w:pPr>
        <w:pStyle w:val="20"/>
        <w:spacing w:line="440" w:lineRule="exact"/>
        <w:ind w:left="454" w:firstLine="0" w:firstLineChars="0"/>
        <w:rPr>
          <w:rFonts w:ascii="Times New Roman" w:hAnsi="宋体"/>
          <w:sz w:val="24"/>
          <w:szCs w:val="24"/>
        </w:rPr>
      </w:pPr>
      <w:r>
        <w:rPr>
          <w:rFonts w:ascii="Times New Roman" w:hAnsi="宋体"/>
          <w:b/>
          <w:sz w:val="24"/>
          <w:szCs w:val="24"/>
        </w:rPr>
        <w:t>公司</w:t>
      </w:r>
      <w:r>
        <w:rPr>
          <w:rFonts w:ascii="Times New Roman" w:hAnsi="宋体"/>
          <w:sz w:val="24"/>
          <w:szCs w:val="24"/>
        </w:rPr>
        <w:t>在合格资本市场首次公开发行股票前，未经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不得向任何人以转让、赠与、质押、信托或其它任何方式，对其所持有的</w:t>
      </w:r>
      <w:r>
        <w:rPr>
          <w:rFonts w:ascii="Times New Roman" w:hAnsi="宋体"/>
          <w:b/>
          <w:sz w:val="24"/>
          <w:szCs w:val="24"/>
        </w:rPr>
        <w:t>公司</w:t>
      </w:r>
      <w:r>
        <w:rPr>
          <w:rFonts w:ascii="Times New Roman" w:hAnsi="宋体"/>
          <w:sz w:val="24"/>
          <w:szCs w:val="24"/>
        </w:rPr>
        <w:t>股权进行处置或在其上设置第三人权利。为执行经</w:t>
      </w:r>
      <w:r>
        <w:rPr>
          <w:rFonts w:ascii="Times New Roman" w:hAnsi="宋体"/>
          <w:b/>
          <w:sz w:val="24"/>
          <w:szCs w:val="24"/>
        </w:rPr>
        <w:t>公司</w:t>
      </w:r>
      <w:r>
        <w:rPr>
          <w:rFonts w:ascii="Times New Roman" w:hAnsi="宋体"/>
          <w:sz w:val="24"/>
          <w:szCs w:val="24"/>
        </w:rPr>
        <w:t>有权机构批准的股权激励计划而转让股权的除外。</w:t>
      </w:r>
    </w:p>
    <w:p>
      <w:pPr>
        <w:pStyle w:val="20"/>
        <w:spacing w:line="440" w:lineRule="exact"/>
        <w:ind w:left="454" w:firstLine="0" w:firstLineChars="0"/>
        <w:rPr>
          <w:rFonts w:ascii="Times New Roman" w:hAnsi="宋体"/>
          <w:sz w:val="24"/>
          <w:szCs w:val="24"/>
        </w:rPr>
      </w:pPr>
    </w:p>
    <w:p>
      <w:pPr>
        <w:pStyle w:val="3"/>
        <w:numPr>
          <w:ilvl w:val="1"/>
          <w:numId w:val="7"/>
        </w:numPr>
        <w:rPr>
          <w:rFonts w:ascii="宋体" w:hAnsi="宋体" w:eastAsia="宋体"/>
          <w:b/>
        </w:rPr>
      </w:pPr>
      <w:bookmarkStart w:id="17" w:name="_Toc405278773"/>
      <w:r>
        <w:rPr>
          <w:rFonts w:ascii="宋体" w:hAnsi="宋体" w:eastAsia="宋体"/>
          <w:b/>
        </w:rPr>
        <w:t>全职工作、竞业禁止与禁止劝诱</w:t>
      </w:r>
      <w:bookmarkEnd w:id="17"/>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承诺，自</w:t>
      </w:r>
      <w:r>
        <w:rPr>
          <w:rFonts w:ascii="Times New Roman" w:hAnsi="宋体"/>
          <w:b/>
          <w:sz w:val="24"/>
          <w:szCs w:val="24"/>
        </w:rPr>
        <w:t>本协议</w:t>
      </w:r>
      <w:r>
        <w:rPr>
          <w:rFonts w:ascii="Times New Roman" w:hAnsi="宋体"/>
          <w:sz w:val="24"/>
          <w:szCs w:val="24"/>
        </w:rPr>
        <w:t>签署之日起将其全部精力投入</w:t>
      </w:r>
      <w:r>
        <w:rPr>
          <w:rFonts w:ascii="Times New Roman" w:hAnsi="宋体"/>
          <w:b/>
          <w:sz w:val="24"/>
          <w:szCs w:val="24"/>
        </w:rPr>
        <w:t>公司</w:t>
      </w:r>
      <w:r>
        <w:rPr>
          <w:rFonts w:ascii="Times New Roman" w:hAnsi="宋体"/>
          <w:sz w:val="24"/>
          <w:szCs w:val="24"/>
        </w:rPr>
        <w:t>经营、管理中，并结束其他劳动关系或工作关系。</w:t>
      </w:r>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承诺，其在</w:t>
      </w:r>
      <w:r>
        <w:rPr>
          <w:rFonts w:ascii="Times New Roman" w:hAnsi="宋体"/>
          <w:b/>
          <w:sz w:val="24"/>
          <w:szCs w:val="24"/>
        </w:rPr>
        <w:t>公司</w:t>
      </w:r>
      <w:r>
        <w:rPr>
          <w:rFonts w:ascii="Times New Roman" w:hAnsi="宋体"/>
          <w:sz w:val="24"/>
          <w:szCs w:val="24"/>
        </w:rPr>
        <w:t>任职期间及自离职起</w:t>
      </w:r>
      <w:r>
        <w:rPr>
          <w:rFonts w:hint="eastAsia" w:ascii="Times New Roman" w:hAnsi="宋体"/>
          <w:sz w:val="24"/>
          <w:szCs w:val="24"/>
        </w:rPr>
        <w:t>二十四</w:t>
      </w:r>
      <w:r>
        <w:rPr>
          <w:rFonts w:ascii="Times New Roman" w:hAnsi="宋体"/>
          <w:sz w:val="24"/>
          <w:szCs w:val="24"/>
        </w:rPr>
        <w:t>（</w:t>
      </w:r>
      <w:r>
        <w:rPr>
          <w:rFonts w:hint="eastAsia" w:ascii="Times New Roman" w:hAnsi="宋体"/>
          <w:sz w:val="24"/>
          <w:szCs w:val="24"/>
        </w:rPr>
        <w:t>24</w:t>
      </w:r>
      <w:r>
        <w:rPr>
          <w:rFonts w:ascii="Times New Roman" w:hAnsi="宋体"/>
          <w:sz w:val="24"/>
          <w:szCs w:val="24"/>
        </w:rPr>
        <w:t>）个月内，非经</w:t>
      </w:r>
      <w:r>
        <w:rPr>
          <w:rFonts w:ascii="Times New Roman" w:hAnsi="宋体"/>
          <w:b/>
          <w:sz w:val="24"/>
          <w:szCs w:val="24"/>
        </w:rPr>
        <w:t>投资人</w:t>
      </w:r>
      <w:r>
        <w:rPr>
          <w:rFonts w:ascii="Times New Roman" w:hAnsi="宋体"/>
          <w:sz w:val="24"/>
          <w:szCs w:val="24"/>
        </w:rPr>
        <w:t>书面同意，不得到与</w:t>
      </w:r>
      <w:r>
        <w:rPr>
          <w:rFonts w:ascii="Times New Roman" w:hAnsi="宋体"/>
          <w:b/>
          <w:sz w:val="24"/>
          <w:szCs w:val="24"/>
        </w:rPr>
        <w:t>公司</w:t>
      </w:r>
      <w:r>
        <w:rPr>
          <w:rFonts w:ascii="Times New Roman" w:hAnsi="宋体"/>
          <w:sz w:val="24"/>
          <w:szCs w:val="24"/>
        </w:rPr>
        <w:t>有竞争关系的其他用人单位任职，或者自己参与、经营、投资与</w:t>
      </w:r>
      <w:r>
        <w:rPr>
          <w:rFonts w:ascii="Times New Roman" w:hAnsi="宋体"/>
          <w:b/>
          <w:sz w:val="24"/>
          <w:szCs w:val="24"/>
        </w:rPr>
        <w:t>公司</w:t>
      </w:r>
      <w:r>
        <w:rPr>
          <w:rFonts w:ascii="Times New Roman" w:hAnsi="宋体"/>
          <w:sz w:val="24"/>
          <w:szCs w:val="24"/>
        </w:rPr>
        <w:t>有竞争关系的企业（投资于在境内外资本市场的上市公司且投资额不超过该上市公司股本总额</w:t>
      </w:r>
      <w:r>
        <w:rPr>
          <w:rFonts w:hint="eastAsia" w:ascii="Times New Roman" w:hAnsi="Times New Roman"/>
          <w:sz w:val="24"/>
          <w:szCs w:val="24"/>
        </w:rPr>
        <w:t>5</w:t>
      </w:r>
      <w:r>
        <w:rPr>
          <w:rFonts w:ascii="Times New Roman" w:hAnsi="Times New Roman"/>
          <w:sz w:val="24"/>
          <w:szCs w:val="24"/>
        </w:rPr>
        <w:t>%</w:t>
      </w:r>
      <w:r>
        <w:rPr>
          <w:rFonts w:ascii="Times New Roman" w:hAnsi="宋体"/>
          <w:sz w:val="24"/>
          <w:szCs w:val="24"/>
        </w:rPr>
        <w:t>的除外）。</w:t>
      </w:r>
    </w:p>
    <w:p>
      <w:pPr>
        <w:rPr>
          <w:rFonts w:ascii="Times New Roman" w:hAnsi="Times New Roman"/>
          <w:sz w:val="24"/>
          <w:szCs w:val="24"/>
        </w:rPr>
      </w:pPr>
    </w:p>
    <w:p>
      <w:pPr>
        <w:pStyle w:val="20"/>
        <w:widowControl/>
        <w:numPr>
          <w:ilvl w:val="1"/>
          <w:numId w:val="14"/>
        </w:numPr>
        <w:tabs>
          <w:tab w:val="left" w:pos="851"/>
        </w:tabs>
        <w:spacing w:line="440" w:lineRule="exact"/>
        <w:ind w:left="851" w:hanging="397" w:firstLineChars="0"/>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承诺，在</w:t>
      </w:r>
      <w:r>
        <w:rPr>
          <w:rFonts w:ascii="Times New Roman" w:hAnsi="宋体"/>
          <w:b/>
          <w:sz w:val="24"/>
          <w:szCs w:val="24"/>
        </w:rPr>
        <w:t>公司</w:t>
      </w:r>
      <w:r>
        <w:rPr>
          <w:rFonts w:ascii="Times New Roman" w:hAnsi="宋体"/>
          <w:sz w:val="24"/>
          <w:szCs w:val="24"/>
        </w:rPr>
        <w:t>任职期间及自离职之日起</w:t>
      </w:r>
      <w:r>
        <w:rPr>
          <w:rFonts w:hint="eastAsia" w:ascii="Times New Roman" w:hAnsi="宋体"/>
          <w:sz w:val="24"/>
          <w:szCs w:val="24"/>
        </w:rPr>
        <w:t>二十四</w:t>
      </w:r>
      <w:r>
        <w:rPr>
          <w:rFonts w:ascii="Times New Roman" w:hAnsi="宋体"/>
          <w:sz w:val="24"/>
          <w:szCs w:val="24"/>
        </w:rPr>
        <w:t>（</w:t>
      </w:r>
      <w:r>
        <w:rPr>
          <w:rFonts w:hint="eastAsia" w:ascii="Times New Roman" w:hAnsi="宋体"/>
          <w:sz w:val="24"/>
          <w:szCs w:val="24"/>
        </w:rPr>
        <w:t>24</w:t>
      </w:r>
      <w:r>
        <w:rPr>
          <w:rFonts w:ascii="Times New Roman" w:hAnsi="宋体"/>
          <w:sz w:val="24"/>
          <w:szCs w:val="24"/>
        </w:rPr>
        <w:t>）个月内，非经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不会劝诱、聘用在本协议签署之日及以后受聘于</w:t>
      </w:r>
      <w:r>
        <w:rPr>
          <w:rFonts w:ascii="Times New Roman" w:hAnsi="宋体"/>
          <w:b/>
          <w:sz w:val="24"/>
          <w:szCs w:val="24"/>
        </w:rPr>
        <w:t>公司</w:t>
      </w:r>
      <w:r>
        <w:rPr>
          <w:rFonts w:ascii="Times New Roman" w:hAnsi="宋体"/>
          <w:sz w:val="24"/>
          <w:szCs w:val="24"/>
        </w:rPr>
        <w:t>的员工，并促使其关联方不会从事上述行为。</w:t>
      </w:r>
    </w:p>
    <w:p>
      <w:pPr>
        <w:pStyle w:val="2"/>
        <w:numPr>
          <w:ilvl w:val="0"/>
          <w:numId w:val="6"/>
        </w:numPr>
        <w:jc w:val="center"/>
        <w:rPr>
          <w:rFonts w:ascii="Times New Roman" w:hAnsi="Times New Roman"/>
          <w:sz w:val="24"/>
          <w:szCs w:val="24"/>
        </w:rPr>
      </w:pPr>
      <w:r>
        <w:rPr>
          <w:rFonts w:hint="eastAsia" w:ascii="Times New Roman" w:hAnsi="Times New Roman"/>
          <w:sz w:val="24"/>
          <w:szCs w:val="24"/>
        </w:rPr>
        <w:t xml:space="preserve"> </w:t>
      </w:r>
      <w:bookmarkStart w:id="18" w:name="_Toc405278774"/>
      <w:r>
        <w:rPr>
          <w:rFonts w:hint="eastAsia" w:ascii="Times New Roman" w:hAnsi="Times New Roman"/>
          <w:sz w:val="24"/>
          <w:szCs w:val="24"/>
        </w:rPr>
        <w:t>投资人的优先权</w:t>
      </w:r>
      <w:bookmarkEnd w:id="18"/>
    </w:p>
    <w:p>
      <w:pPr>
        <w:pStyle w:val="3"/>
        <w:numPr>
          <w:ilvl w:val="1"/>
          <w:numId w:val="7"/>
        </w:numPr>
        <w:rPr>
          <w:rFonts w:ascii="宋体" w:hAnsi="宋体" w:eastAsia="宋体"/>
          <w:b/>
        </w:rPr>
      </w:pPr>
      <w:bookmarkStart w:id="19" w:name="_Toc405278775"/>
      <w:r>
        <w:rPr>
          <w:rFonts w:ascii="宋体" w:hAnsi="宋体" w:eastAsia="宋体"/>
          <w:b/>
        </w:rPr>
        <w:t>清算优先权</w:t>
      </w:r>
      <w:bookmarkEnd w:id="19"/>
    </w:p>
    <w:p>
      <w:pPr>
        <w:rPr>
          <w:rFonts w:ascii="Times New Roman" w:hAnsi="Times New Roman"/>
          <w:sz w:val="24"/>
          <w:szCs w:val="24"/>
        </w:rPr>
      </w:pPr>
    </w:p>
    <w:p>
      <w:pPr>
        <w:pStyle w:val="20"/>
        <w:numPr>
          <w:ilvl w:val="1"/>
          <w:numId w:val="15"/>
        </w:numPr>
        <w:spacing w:line="440" w:lineRule="exact"/>
        <w:ind w:left="851" w:hanging="397" w:firstLineChars="0"/>
        <w:rPr>
          <w:rFonts w:ascii="Times New Roman" w:hAnsi="Times New Roman"/>
          <w:sz w:val="24"/>
          <w:szCs w:val="24"/>
        </w:rPr>
      </w:pP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同意，在发生以下事项（统称</w:t>
      </w:r>
      <w:r>
        <w:rPr>
          <w:rFonts w:ascii="Times New Roman" w:hAnsi="Times New Roman"/>
          <w:sz w:val="24"/>
          <w:szCs w:val="24"/>
        </w:rPr>
        <w:t>“</w:t>
      </w:r>
      <w:r>
        <w:rPr>
          <w:rFonts w:ascii="Times New Roman" w:hAnsi="宋体"/>
          <w:b/>
          <w:sz w:val="24"/>
          <w:szCs w:val="24"/>
        </w:rPr>
        <w:t>清算事件</w:t>
      </w:r>
      <w:r>
        <w:rPr>
          <w:rFonts w:ascii="Times New Roman" w:hAnsi="Times New Roman"/>
          <w:sz w:val="24"/>
          <w:szCs w:val="24"/>
        </w:rPr>
        <w:t>”</w:t>
      </w:r>
      <w:r>
        <w:rPr>
          <w:rFonts w:ascii="Times New Roman" w:hAnsi="宋体"/>
          <w:sz w:val="24"/>
          <w:szCs w:val="24"/>
        </w:rPr>
        <w:t>）之一的，</w:t>
      </w:r>
      <w:r>
        <w:rPr>
          <w:rFonts w:ascii="Times New Roman" w:hAnsi="宋体"/>
          <w:b/>
          <w:sz w:val="24"/>
          <w:szCs w:val="24"/>
        </w:rPr>
        <w:t>投资人</w:t>
      </w:r>
      <w:r>
        <w:rPr>
          <w:rFonts w:ascii="Times New Roman" w:hAnsi="宋体"/>
          <w:sz w:val="24"/>
          <w:szCs w:val="24"/>
        </w:rPr>
        <w:t>享有清算优先权：</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拟终止经营进行清算的</w:t>
      </w:r>
      <w:r>
        <w:rPr>
          <w:rFonts w:ascii="Times New Roman" w:hAnsi="宋体"/>
          <w:kern w:val="0"/>
          <w:sz w:val="24"/>
          <w:szCs w:val="24"/>
        </w:rPr>
        <w:t>；</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出售、转让全部或核心资产、业务或对其进行任何其他处置，并拟不再进行实质性经营活动的；</w:t>
      </w:r>
    </w:p>
    <w:p>
      <w:pPr>
        <w:pStyle w:val="20"/>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sz w:val="24"/>
          <w:szCs w:val="24"/>
        </w:rPr>
        <w:t>因股权转让或增资导致</w:t>
      </w:r>
      <w:r>
        <w:rPr>
          <w:rFonts w:ascii="Times New Roman" w:hAnsi="宋体"/>
          <w:b/>
          <w:sz w:val="24"/>
          <w:szCs w:val="24"/>
        </w:rPr>
        <w:t>公司</w:t>
      </w:r>
      <w:r>
        <w:rPr>
          <w:rFonts w:ascii="Times New Roman" w:hAnsi="Times New Roman"/>
          <w:sz w:val="24"/>
          <w:szCs w:val="24"/>
        </w:rPr>
        <w:t>50%</w:t>
      </w:r>
      <w:r>
        <w:rPr>
          <w:rFonts w:ascii="Times New Roman" w:hAnsi="宋体"/>
          <w:sz w:val="24"/>
          <w:szCs w:val="24"/>
        </w:rPr>
        <w:t>以上的股权归属于</w:t>
      </w:r>
      <w:r>
        <w:rPr>
          <w:rFonts w:ascii="Times New Roman" w:hAnsi="宋体"/>
          <w:b/>
          <w:sz w:val="24"/>
          <w:szCs w:val="24"/>
        </w:rPr>
        <w:t>创始人</w:t>
      </w:r>
      <w:r>
        <w:rPr>
          <w:rFonts w:ascii="Times New Roman" w:hAnsi="宋体"/>
          <w:sz w:val="24"/>
          <w:szCs w:val="24"/>
        </w:rPr>
        <w:t>和</w:t>
      </w:r>
      <w:r>
        <w:rPr>
          <w:rFonts w:ascii="Times New Roman" w:hAnsi="宋体"/>
          <w:b/>
          <w:sz w:val="24"/>
          <w:szCs w:val="24"/>
        </w:rPr>
        <w:t>投资人</w:t>
      </w:r>
      <w:r>
        <w:rPr>
          <w:rFonts w:ascii="Times New Roman" w:hAnsi="宋体"/>
          <w:sz w:val="24"/>
          <w:szCs w:val="24"/>
        </w:rPr>
        <w:t>以外的第三人的。</w:t>
      </w:r>
    </w:p>
    <w:p>
      <w:pPr>
        <w:rPr>
          <w:rFonts w:ascii="Times New Roman" w:hAnsi="Times New Roman"/>
          <w:sz w:val="24"/>
          <w:szCs w:val="24"/>
        </w:rPr>
      </w:pPr>
    </w:p>
    <w:p>
      <w:pPr>
        <w:pStyle w:val="20"/>
        <w:numPr>
          <w:ilvl w:val="1"/>
          <w:numId w:val="15"/>
        </w:numPr>
        <w:spacing w:line="440" w:lineRule="exact"/>
        <w:ind w:left="851" w:hanging="397" w:firstLineChars="0"/>
        <w:rPr>
          <w:rFonts w:ascii="Times New Roman" w:hAnsi="Times New Roman"/>
          <w:sz w:val="24"/>
          <w:szCs w:val="24"/>
        </w:rPr>
      </w:pPr>
      <w:r>
        <w:rPr>
          <w:rFonts w:ascii="Times New Roman" w:hAnsi="宋体"/>
          <w:sz w:val="24"/>
          <w:szCs w:val="24"/>
        </w:rPr>
        <w:t>清算优先权的</w:t>
      </w:r>
      <w:r>
        <w:rPr>
          <w:rFonts w:ascii="Times New Roman" w:hAnsi="宋体"/>
          <w:b/>
          <w:sz w:val="24"/>
          <w:szCs w:val="24"/>
        </w:rPr>
        <w:t>行使方式</w:t>
      </w:r>
      <w:r>
        <w:rPr>
          <w:rFonts w:ascii="Times New Roman" w:hAnsi="宋体"/>
          <w:sz w:val="24"/>
          <w:szCs w:val="24"/>
        </w:rPr>
        <w:t>为：</w:t>
      </w:r>
    </w:p>
    <w:p>
      <w:pPr>
        <w:rPr>
          <w:rFonts w:ascii="Times New Roman" w:hAnsi="Times New Roman"/>
          <w:sz w:val="24"/>
          <w:szCs w:val="24"/>
        </w:rPr>
      </w:pPr>
    </w:p>
    <w:p>
      <w:pPr>
        <w:pStyle w:val="20"/>
        <w:spacing w:line="440" w:lineRule="exact"/>
        <w:ind w:left="882" w:leftChars="420" w:firstLine="0" w:firstLineChars="0"/>
        <w:rPr>
          <w:rFonts w:ascii="Times New Roman" w:hAnsi="Times New Roman"/>
          <w:sz w:val="24"/>
          <w:szCs w:val="24"/>
        </w:rPr>
      </w:pPr>
      <w:r>
        <w:rPr>
          <w:rFonts w:ascii="Times New Roman" w:hAnsi="宋体"/>
          <w:b/>
          <w:sz w:val="24"/>
          <w:szCs w:val="24"/>
        </w:rPr>
        <w:t>清算事件</w:t>
      </w:r>
      <w:r>
        <w:rPr>
          <w:rFonts w:ascii="Times New Roman" w:hAnsi="宋体"/>
          <w:sz w:val="24"/>
          <w:szCs w:val="24"/>
        </w:rPr>
        <w:t>发生后，在股东可分配财产或转让价款总额中，首先向</w:t>
      </w:r>
      <w:r>
        <w:rPr>
          <w:rFonts w:ascii="Times New Roman" w:hAnsi="宋体"/>
          <w:b/>
          <w:sz w:val="24"/>
          <w:szCs w:val="24"/>
        </w:rPr>
        <w:t>投资人</w:t>
      </w:r>
      <w:r>
        <w:rPr>
          <w:rFonts w:ascii="Times New Roman" w:hAnsi="宋体"/>
          <w:sz w:val="24"/>
          <w:szCs w:val="24"/>
        </w:rPr>
        <w:t>股东支付相当于其</w:t>
      </w:r>
      <w:r>
        <w:rPr>
          <w:rFonts w:ascii="Times New Roman" w:hAnsi="宋体"/>
          <w:b/>
          <w:sz w:val="24"/>
          <w:szCs w:val="24"/>
        </w:rPr>
        <w:t>投资款</w:t>
      </w:r>
      <w:r>
        <w:rPr>
          <w:rFonts w:ascii="Times New Roman" w:hAnsi="宋体"/>
          <w:sz w:val="24"/>
          <w:szCs w:val="24"/>
        </w:rPr>
        <w:t>［</w:t>
      </w:r>
      <w:r>
        <w:rPr>
          <w:rFonts w:ascii="Times New Roman" w:hAnsi="Times New Roman"/>
          <w:i/>
          <w:sz w:val="24"/>
          <w:szCs w:val="24"/>
        </w:rPr>
        <w:t>1</w:t>
      </w:r>
      <w:r>
        <w:rPr>
          <w:rFonts w:hint="eastAsia" w:ascii="Times New Roman" w:hAnsi="Times New Roman"/>
          <w:i/>
          <w:sz w:val="24"/>
          <w:szCs w:val="24"/>
        </w:rPr>
        <w:t>0</w:t>
      </w:r>
      <w:r>
        <w:rPr>
          <w:rFonts w:ascii="Times New Roman" w:hAnsi="Times New Roman"/>
          <w:i/>
          <w:sz w:val="24"/>
          <w:szCs w:val="24"/>
        </w:rPr>
        <w:t>0</w:t>
      </w:r>
      <w:r>
        <w:rPr>
          <w:rFonts w:ascii="Times New Roman" w:hAnsi="宋体"/>
          <w:sz w:val="24"/>
          <w:szCs w:val="24"/>
        </w:rPr>
        <w:t>］</w:t>
      </w:r>
      <w:r>
        <w:rPr>
          <w:rFonts w:ascii="Times New Roman" w:hAnsi="Times New Roman"/>
          <w:sz w:val="24"/>
          <w:szCs w:val="24"/>
        </w:rPr>
        <w:t>%</w:t>
      </w:r>
      <w:r>
        <w:rPr>
          <w:rFonts w:ascii="Times New Roman" w:hAnsi="宋体"/>
          <w:sz w:val="24"/>
          <w:szCs w:val="24"/>
        </w:rPr>
        <w:t>的款项或等额资产，剩余部分由全体股东（包括</w:t>
      </w:r>
      <w:r>
        <w:rPr>
          <w:rFonts w:ascii="Times New Roman" w:hAnsi="宋体"/>
          <w:b/>
          <w:sz w:val="24"/>
          <w:szCs w:val="24"/>
        </w:rPr>
        <w:t>投资人</w:t>
      </w:r>
      <w:r>
        <w:rPr>
          <w:rFonts w:ascii="Times New Roman" w:hAnsi="宋体"/>
          <w:sz w:val="24"/>
          <w:szCs w:val="24"/>
        </w:rPr>
        <w:t>）按各自的持股比例分配。各方可以用分配红利或法律允许的其他方式实现</w:t>
      </w:r>
      <w:r>
        <w:rPr>
          <w:rFonts w:ascii="Times New Roman" w:hAnsi="宋体"/>
          <w:b/>
          <w:sz w:val="24"/>
          <w:szCs w:val="24"/>
        </w:rPr>
        <w:t>投资人</w:t>
      </w:r>
      <w:r>
        <w:rPr>
          <w:rFonts w:ascii="Times New Roman" w:hAnsi="宋体"/>
          <w:sz w:val="24"/>
          <w:szCs w:val="24"/>
        </w:rPr>
        <w:t>的清算优先权。</w:t>
      </w:r>
    </w:p>
    <w:p/>
    <w:p>
      <w:pPr>
        <w:pStyle w:val="3"/>
        <w:numPr>
          <w:ilvl w:val="1"/>
          <w:numId w:val="7"/>
        </w:numPr>
        <w:rPr>
          <w:rFonts w:ascii="宋体" w:hAnsi="宋体" w:eastAsia="宋体"/>
          <w:b/>
        </w:rPr>
      </w:pPr>
      <w:bookmarkStart w:id="20" w:name="_Toc405278776"/>
      <w:r>
        <w:rPr>
          <w:rFonts w:ascii="宋体" w:hAnsi="宋体" w:eastAsia="宋体"/>
          <w:b/>
        </w:rPr>
        <w:t>优先购买权</w:t>
      </w:r>
      <w:bookmarkEnd w:id="20"/>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w:t>
      </w:r>
      <w:r>
        <w:rPr>
          <w:rFonts w:ascii="Times New Roman" w:hAnsi="Times New Roman"/>
          <w:sz w:val="24"/>
          <w:szCs w:val="24"/>
        </w:rPr>
        <w:t>“</w:t>
      </w:r>
      <w:r>
        <w:rPr>
          <w:rFonts w:ascii="Times New Roman" w:hAnsi="宋体"/>
          <w:b/>
          <w:sz w:val="24"/>
          <w:szCs w:val="24"/>
        </w:rPr>
        <w:t>拟出售股权</w:t>
      </w:r>
      <w:r>
        <w:rPr>
          <w:rFonts w:ascii="Times New Roman" w:hAnsi="Times New Roman"/>
          <w:sz w:val="24"/>
          <w:szCs w:val="24"/>
        </w:rPr>
        <w:t>”</w:t>
      </w:r>
      <w:r>
        <w:rPr>
          <w:rFonts w:ascii="Times New Roman" w:hAnsi="宋体"/>
          <w:sz w:val="24"/>
          <w:szCs w:val="24"/>
        </w:rPr>
        <w:t>）时，</w:t>
      </w:r>
      <w:r>
        <w:rPr>
          <w:rFonts w:ascii="Times New Roman" w:hAnsi="宋体"/>
          <w:b/>
          <w:sz w:val="24"/>
          <w:szCs w:val="24"/>
        </w:rPr>
        <w:t>投资人</w:t>
      </w:r>
      <w:r>
        <w:rPr>
          <w:rFonts w:ascii="Times New Roman" w:hAnsi="宋体"/>
          <w:sz w:val="24"/>
          <w:szCs w:val="24"/>
        </w:rPr>
        <w:t>有权以同等条件及价格优先购买全部或部分</w:t>
      </w:r>
      <w:r>
        <w:rPr>
          <w:rFonts w:ascii="Times New Roman" w:hAnsi="宋体"/>
          <w:b/>
          <w:sz w:val="24"/>
          <w:szCs w:val="24"/>
        </w:rPr>
        <w:t>拟出售股权</w:t>
      </w:r>
      <w:r>
        <w:rPr>
          <w:rFonts w:ascii="Times New Roman" w:hAnsi="宋体"/>
          <w:sz w:val="24"/>
          <w:szCs w:val="24"/>
        </w:rPr>
        <w:t>。</w:t>
      </w:r>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b/>
          <w:sz w:val="24"/>
          <w:szCs w:val="24"/>
        </w:rPr>
        <w:t>创始人</w:t>
      </w:r>
      <w:r>
        <w:rPr>
          <w:rFonts w:ascii="Times New Roman" w:hAnsi="宋体"/>
          <w:sz w:val="24"/>
          <w:szCs w:val="24"/>
        </w:rPr>
        <w:t>承诺，就上述股权出售事宜应提前</w:t>
      </w:r>
      <w:bookmarkStart w:id="41" w:name="_GoBack"/>
      <w:bookmarkEnd w:id="41"/>
      <w:r>
        <w:rPr>
          <w:rFonts w:hint="eastAsia" w:ascii="Times New Roman" w:hAnsi="宋体"/>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应于</w:t>
      </w:r>
      <w:r>
        <w:rPr>
          <w:rFonts w:hint="eastAsia" w:ascii="Times New Roman" w:hAnsi="宋体"/>
          <w:sz w:val="24"/>
          <w:szCs w:val="24"/>
        </w:rPr>
        <w:t>15</w:t>
      </w:r>
      <w:r>
        <w:rPr>
          <w:rFonts w:ascii="Times New Roman" w:hAnsi="宋体"/>
          <w:sz w:val="24"/>
          <w:szCs w:val="24"/>
        </w:rPr>
        <w:t>个工作日内回复是否行使优先购买权，如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，视为放弃行使本次优先购买权。</w:t>
      </w:r>
    </w:p>
    <w:p>
      <w:pPr>
        <w:pStyle w:val="20"/>
        <w:spacing w:line="440" w:lineRule="exact"/>
        <w:ind w:left="454" w:firstLine="0" w:firstLineChars="0"/>
        <w:rPr>
          <w:rFonts w:ascii="Times New Roman" w:hAnsi="Times New Roman"/>
          <w:sz w:val="24"/>
          <w:szCs w:val="24"/>
        </w:rPr>
      </w:pPr>
    </w:p>
    <w:p>
      <w:pPr>
        <w:pStyle w:val="3"/>
        <w:numPr>
          <w:ilvl w:val="1"/>
          <w:numId w:val="7"/>
        </w:numPr>
        <w:rPr>
          <w:rFonts w:ascii="宋体" w:hAnsi="宋体" w:eastAsia="宋体"/>
          <w:b/>
        </w:rPr>
      </w:pPr>
      <w:bookmarkStart w:id="21" w:name="_Toc405278777"/>
      <w:r>
        <w:rPr>
          <w:rFonts w:ascii="宋体" w:hAnsi="宋体" w:eastAsia="宋体"/>
          <w:b/>
        </w:rPr>
        <w:t>共同出售权</w:t>
      </w:r>
      <w:bookmarkEnd w:id="21"/>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出售其拥有的部分或全部股权时，</w:t>
      </w:r>
      <w:r>
        <w:rPr>
          <w:rFonts w:ascii="Times New Roman" w:hAnsi="宋体"/>
          <w:b/>
          <w:sz w:val="24"/>
          <w:szCs w:val="24"/>
        </w:rPr>
        <w:t>投资人</w:t>
      </w:r>
      <w:r>
        <w:rPr>
          <w:rFonts w:ascii="Times New Roman" w:hAnsi="宋体"/>
          <w:sz w:val="24"/>
          <w:szCs w:val="24"/>
        </w:rPr>
        <w:t>有权按照</w:t>
      </w:r>
      <w:r>
        <w:rPr>
          <w:rFonts w:ascii="Times New Roman" w:hAnsi="宋体"/>
          <w:b/>
          <w:sz w:val="24"/>
          <w:szCs w:val="24"/>
        </w:rPr>
        <w:t>创始人拟出售股权</w:t>
      </w:r>
      <w:r>
        <w:rPr>
          <w:rFonts w:ascii="Times New Roman" w:hAnsi="宋体"/>
          <w:sz w:val="24"/>
          <w:szCs w:val="24"/>
        </w:rPr>
        <w:t>占该</w:t>
      </w:r>
      <w:r>
        <w:rPr>
          <w:rFonts w:ascii="Times New Roman" w:hAnsi="宋体"/>
          <w:b/>
          <w:sz w:val="24"/>
          <w:szCs w:val="24"/>
        </w:rPr>
        <w:t>创始人</w:t>
      </w:r>
      <w:r>
        <w:rPr>
          <w:rFonts w:ascii="Times New Roman" w:hAnsi="宋体"/>
          <w:sz w:val="24"/>
          <w:szCs w:val="24"/>
        </w:rPr>
        <w:t>持股总额的比例与</w:t>
      </w:r>
      <w:r>
        <w:rPr>
          <w:rFonts w:ascii="Times New Roman" w:hAnsi="宋体"/>
          <w:b/>
          <w:sz w:val="24"/>
          <w:szCs w:val="24"/>
        </w:rPr>
        <w:t>创始人</w:t>
      </w:r>
      <w:r>
        <w:rPr>
          <w:rFonts w:ascii="Times New Roman" w:hAnsi="宋体"/>
          <w:sz w:val="24"/>
          <w:szCs w:val="24"/>
        </w:rPr>
        <w:t>共同出售，否则</w:t>
      </w:r>
      <w:r>
        <w:rPr>
          <w:rFonts w:ascii="Times New Roman" w:hAnsi="宋体"/>
          <w:b/>
          <w:sz w:val="24"/>
          <w:szCs w:val="24"/>
        </w:rPr>
        <w:t>创始人</w:t>
      </w:r>
      <w:r>
        <w:rPr>
          <w:rFonts w:ascii="Times New Roman" w:hAnsi="宋体"/>
          <w:sz w:val="24"/>
          <w:szCs w:val="24"/>
        </w:rPr>
        <w:t>不得转让。</w:t>
      </w:r>
    </w:p>
    <w:p>
      <w:pPr>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承诺，就上述股权出售事宜应提前</w:t>
      </w:r>
      <w:r>
        <w:rPr>
          <w:rFonts w:hint="eastAsia" w:ascii="Times New Roman" w:hAnsi="宋体"/>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应于</w:t>
      </w:r>
      <w:r>
        <w:rPr>
          <w:rFonts w:hint="eastAsia" w:ascii="Times New Roman" w:hAnsi="宋体"/>
          <w:sz w:val="24"/>
          <w:szCs w:val="24"/>
        </w:rPr>
        <w:t>5</w:t>
      </w:r>
      <w:r>
        <w:rPr>
          <w:rFonts w:ascii="Times New Roman" w:hAnsi="宋体"/>
          <w:sz w:val="24"/>
          <w:szCs w:val="24"/>
        </w:rPr>
        <w:t>个工作日内回复是否行使共同出售权，如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，视为放弃行使本次共同出售权。</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2" w:name="_Toc405278778"/>
      <w:r>
        <w:rPr>
          <w:rFonts w:ascii="宋体" w:hAnsi="宋体" w:eastAsia="宋体"/>
          <w:b/>
        </w:rPr>
        <w:t>优先认购权</w:t>
      </w:r>
      <w:bookmarkEnd w:id="22"/>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在首次公开发行股票前，</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以任何形式进行新的股权融资，需经</w:t>
      </w:r>
      <w:r>
        <w:rPr>
          <w:rFonts w:ascii="Times New Roman" w:hAnsi="宋体"/>
          <w:b/>
          <w:sz w:val="24"/>
          <w:szCs w:val="24"/>
        </w:rPr>
        <w:t>投资人</w:t>
      </w:r>
      <w:r>
        <w:rPr>
          <w:rFonts w:ascii="Times New Roman" w:hAnsi="宋体"/>
          <w:sz w:val="24"/>
          <w:szCs w:val="24"/>
        </w:rPr>
        <w:t>书面同意，</w:t>
      </w:r>
      <w:r>
        <w:rPr>
          <w:rFonts w:hint="eastAsia" w:ascii="Times New Roman" w:hAnsi="宋体"/>
          <w:sz w:val="24"/>
          <w:szCs w:val="24"/>
        </w:rPr>
        <w:t>且</w:t>
      </w:r>
      <w:r>
        <w:rPr>
          <w:rFonts w:ascii="Times New Roman" w:hAnsi="宋体"/>
          <w:b/>
          <w:sz w:val="24"/>
          <w:szCs w:val="24"/>
        </w:rPr>
        <w:t>投资人</w:t>
      </w:r>
      <w:r>
        <w:rPr>
          <w:rFonts w:ascii="Times New Roman" w:hAnsi="宋体"/>
          <w:sz w:val="24"/>
          <w:szCs w:val="24"/>
        </w:rPr>
        <w:t>有权按其所持股权占</w:t>
      </w:r>
      <w:r>
        <w:rPr>
          <w:rFonts w:ascii="Times New Roman" w:hAnsi="宋体"/>
          <w:b/>
          <w:sz w:val="24"/>
          <w:szCs w:val="24"/>
        </w:rPr>
        <w:t>公司</w:t>
      </w:r>
      <w:r>
        <w:rPr>
          <w:rFonts w:ascii="Times New Roman" w:hAnsi="宋体"/>
          <w:sz w:val="24"/>
          <w:szCs w:val="24"/>
        </w:rPr>
        <w:t>股权总额的比例，以同等条件及价格优先认购新增股权。如果</w:t>
      </w:r>
      <w:r>
        <w:rPr>
          <w:rFonts w:ascii="Times New Roman" w:hAnsi="宋体"/>
          <w:b/>
          <w:sz w:val="24"/>
          <w:szCs w:val="24"/>
        </w:rPr>
        <w:t>公司</w:t>
      </w:r>
      <w:r>
        <w:rPr>
          <w:rFonts w:ascii="Times New Roman" w:hAnsi="宋体"/>
          <w:sz w:val="24"/>
          <w:szCs w:val="24"/>
        </w:rPr>
        <w:t>其他拥有优先认购权的股东放弃其优先认购权，则</w:t>
      </w:r>
      <w:r>
        <w:rPr>
          <w:rFonts w:ascii="Times New Roman" w:hAnsi="宋体"/>
          <w:b/>
          <w:sz w:val="24"/>
          <w:szCs w:val="24"/>
        </w:rPr>
        <w:t>投资人</w:t>
      </w:r>
      <w:r>
        <w:rPr>
          <w:rFonts w:ascii="Times New Roman" w:hAnsi="宋体"/>
          <w:sz w:val="24"/>
          <w:szCs w:val="24"/>
        </w:rPr>
        <w:t>有权优先认购该股东放弃的部分。</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3" w:name="_Toc405278779"/>
      <w:r>
        <w:rPr>
          <w:rFonts w:hint="eastAsia" w:ascii="宋体" w:hAnsi="宋体" w:eastAsia="宋体"/>
          <w:b/>
        </w:rPr>
        <w:t>反稀释</w:t>
      </w:r>
      <w:bookmarkEnd w:id="23"/>
    </w:p>
    <w:p>
      <w:pPr>
        <w:spacing w:line="440" w:lineRule="exact"/>
        <w:rPr>
          <w:rFonts w:ascii="Times New Roman" w:hAnsi="Times New Roman"/>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sz w:val="24"/>
          <w:szCs w:val="24"/>
        </w:rPr>
        <w:t>在获得</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同意的前提下，如果</w:t>
      </w:r>
      <w:r>
        <w:rPr>
          <w:rFonts w:ascii="Times New Roman" w:hAnsi="宋体"/>
          <w:b/>
          <w:sz w:val="24"/>
          <w:szCs w:val="24"/>
        </w:rPr>
        <w:t>公司</w:t>
      </w:r>
      <w:r>
        <w:rPr>
          <w:rFonts w:ascii="Times New Roman" w:hAnsi="宋体"/>
          <w:sz w:val="24"/>
          <w:szCs w:val="24"/>
        </w:rPr>
        <w:t>进行下一轮融资或者增资时</w:t>
      </w:r>
      <w:r>
        <w:rPr>
          <w:rFonts w:hint="eastAsia" w:ascii="Times New Roman" w:hAnsi="宋体"/>
          <w:sz w:val="24"/>
          <w:szCs w:val="24"/>
        </w:rPr>
        <w:t>（</w:t>
      </w:r>
      <w:r>
        <w:rPr>
          <w:rFonts w:ascii="Times New Roman" w:hAnsi="宋体"/>
          <w:sz w:val="24"/>
          <w:szCs w:val="24"/>
        </w:rPr>
        <w:t>简称“</w:t>
      </w:r>
      <w:r>
        <w:rPr>
          <w:rFonts w:ascii="Times New Roman" w:hAnsi="宋体"/>
          <w:b/>
          <w:sz w:val="24"/>
          <w:szCs w:val="24"/>
        </w:rPr>
        <w:t>下轮融资</w:t>
      </w:r>
      <w:r>
        <w:rPr>
          <w:rFonts w:ascii="Times New Roman" w:hAnsi="宋体"/>
          <w:sz w:val="24"/>
          <w:szCs w:val="24"/>
        </w:rPr>
        <w:t>”</w:t>
      </w:r>
      <w:r>
        <w:rPr>
          <w:rFonts w:hint="eastAsia" w:ascii="Times New Roman" w:hAnsi="宋体"/>
          <w:sz w:val="24"/>
          <w:szCs w:val="24"/>
        </w:rPr>
        <w:t>）</w:t>
      </w:r>
      <w:r>
        <w:rPr>
          <w:rFonts w:ascii="Times New Roman" w:hAnsi="宋体"/>
          <w:sz w:val="24"/>
          <w:szCs w:val="24"/>
        </w:rPr>
        <w:t>，公司在该</w:t>
      </w:r>
      <w:r>
        <w:rPr>
          <w:rFonts w:ascii="Times New Roman" w:hAnsi="宋体"/>
          <w:b/>
          <w:sz w:val="24"/>
          <w:szCs w:val="24"/>
        </w:rPr>
        <w:t>下轮融资</w:t>
      </w:r>
      <w:r>
        <w:rPr>
          <w:rFonts w:ascii="Times New Roman" w:hAnsi="宋体"/>
          <w:sz w:val="24"/>
          <w:szCs w:val="24"/>
        </w:rPr>
        <w:t>时的投资前估值</w:t>
      </w:r>
      <w:r>
        <w:rPr>
          <w:rFonts w:hint="eastAsia" w:ascii="Times New Roman" w:hAnsi="宋体"/>
          <w:sz w:val="24"/>
          <w:szCs w:val="24"/>
        </w:rPr>
        <w:t>（</w:t>
      </w:r>
      <w:r>
        <w:rPr>
          <w:rFonts w:ascii="Times New Roman" w:hAnsi="宋体"/>
          <w:sz w:val="24"/>
          <w:szCs w:val="24"/>
        </w:rPr>
        <w:t>简称“</w:t>
      </w:r>
      <w:r>
        <w:rPr>
          <w:rFonts w:ascii="Times New Roman" w:hAnsi="宋体"/>
          <w:b/>
          <w:sz w:val="24"/>
          <w:szCs w:val="24"/>
        </w:rPr>
        <w:t>下轮融资低估值”</w:t>
      </w:r>
      <w:r>
        <w:rPr>
          <w:rFonts w:hint="eastAsia" w:ascii="Times New Roman" w:hAnsi="宋体"/>
          <w:sz w:val="24"/>
          <w:szCs w:val="24"/>
        </w:rPr>
        <w:t>）</w:t>
      </w:r>
      <w:r>
        <w:rPr>
          <w:rFonts w:ascii="Times New Roman" w:hAnsi="宋体"/>
          <w:sz w:val="24"/>
          <w:szCs w:val="24"/>
        </w:rPr>
        <w:t>低于本次</w:t>
      </w:r>
      <w:r>
        <w:rPr>
          <w:rFonts w:hint="eastAsia" w:ascii="Times New Roman" w:hAnsi="宋体"/>
          <w:sz w:val="24"/>
          <w:szCs w:val="24"/>
        </w:rPr>
        <w:t>增资</w:t>
      </w:r>
      <w:r>
        <w:rPr>
          <w:rFonts w:ascii="Times New Roman" w:hAnsi="宋体"/>
          <w:sz w:val="24"/>
          <w:szCs w:val="24"/>
        </w:rPr>
        <w:t>的</w:t>
      </w:r>
      <w:r>
        <w:rPr>
          <w:rFonts w:ascii="Times New Roman" w:hAnsi="宋体"/>
          <w:b/>
          <w:sz w:val="24"/>
          <w:szCs w:val="24"/>
        </w:rPr>
        <w:t>公司</w:t>
      </w:r>
      <w:r>
        <w:rPr>
          <w:rFonts w:ascii="Times New Roman" w:hAnsi="宋体"/>
          <w:sz w:val="24"/>
          <w:szCs w:val="24"/>
        </w:rPr>
        <w:t>投资后估值</w:t>
      </w:r>
      <w:r>
        <w:rPr>
          <w:rFonts w:hint="eastAsia" w:ascii="Times New Roman" w:hAnsi="宋体"/>
          <w:sz w:val="24"/>
          <w:szCs w:val="24"/>
        </w:rPr>
        <w:t>（即人民币元1000万元）</w:t>
      </w:r>
      <w:r>
        <w:rPr>
          <w:rFonts w:ascii="Times New Roman" w:hAnsi="宋体"/>
          <w:sz w:val="24"/>
          <w:szCs w:val="24"/>
        </w:rPr>
        <w:t>，则</w:t>
      </w:r>
      <w:r>
        <w:rPr>
          <w:rFonts w:hint="eastAsia" w:ascii="Times New Roman" w:hAnsi="宋体"/>
          <w:b/>
          <w:sz w:val="24"/>
          <w:szCs w:val="24"/>
        </w:rPr>
        <w:t>投资人</w:t>
      </w:r>
      <w:r>
        <w:rPr>
          <w:rFonts w:ascii="Times New Roman" w:hAnsi="宋体"/>
          <w:sz w:val="24"/>
          <w:szCs w:val="24"/>
        </w:rPr>
        <w:t>届时有权根据该</w:t>
      </w:r>
      <w:r>
        <w:rPr>
          <w:rFonts w:ascii="Times New Roman" w:hAnsi="宋体"/>
          <w:b/>
          <w:sz w:val="24"/>
          <w:szCs w:val="24"/>
        </w:rPr>
        <w:t>下轮融资低估值</w:t>
      </w:r>
      <w:r>
        <w:rPr>
          <w:rFonts w:ascii="Times New Roman" w:hAnsi="宋体"/>
          <w:sz w:val="24"/>
          <w:szCs w:val="24"/>
        </w:rPr>
        <w:t>调整其已经在</w:t>
      </w:r>
      <w:r>
        <w:rPr>
          <w:rFonts w:ascii="Times New Roman" w:hAnsi="宋体"/>
          <w:b/>
          <w:sz w:val="24"/>
          <w:szCs w:val="24"/>
        </w:rPr>
        <w:t>公司</w:t>
      </w:r>
      <w:r>
        <w:rPr>
          <w:rFonts w:ascii="Times New Roman" w:hAnsi="宋体"/>
          <w:sz w:val="24"/>
          <w:szCs w:val="24"/>
        </w:rPr>
        <w:t>持有的股权比例，调整后</w:t>
      </w:r>
      <w:r>
        <w:rPr>
          <w:rFonts w:hint="eastAsia" w:ascii="Times New Roman" w:hAnsi="宋体"/>
          <w:b/>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的股权比例按以下公式计算：</w:t>
      </w:r>
    </w:p>
    <w:p>
      <w:pPr>
        <w:pStyle w:val="20"/>
        <w:tabs>
          <w:tab w:val="left" w:pos="1276"/>
        </w:tabs>
        <w:spacing w:line="440" w:lineRule="exact"/>
        <w:ind w:left="454" w:firstLine="0" w:firstLineChars="0"/>
        <w:rPr>
          <w:rFonts w:ascii="Times New Roman" w:hAnsi="宋体"/>
          <w:sz w:val="24"/>
          <w:szCs w:val="24"/>
        </w:rPr>
      </w:pPr>
    </w:p>
    <w:p>
      <w:pPr>
        <w:pStyle w:val="20"/>
        <w:tabs>
          <w:tab w:val="left" w:pos="851"/>
        </w:tabs>
        <w:spacing w:line="440" w:lineRule="exact"/>
        <w:ind w:left="851" w:firstLine="0" w:firstLineChars="0"/>
        <w:rPr>
          <w:rFonts w:ascii="Times New Roman" w:hAnsi="宋体"/>
          <w:sz w:val="24"/>
          <w:szCs w:val="24"/>
        </w:rPr>
      </w:pPr>
      <w:r>
        <w:rPr>
          <w:rFonts w:hint="eastAsia" w:ascii="Times New Roman" w:hAnsi="宋体"/>
          <w:b/>
          <w:sz w:val="24"/>
          <w:szCs w:val="24"/>
        </w:rPr>
        <w:t>投资人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w:t>
      </w:r>
      <w:r>
        <w:rPr>
          <w:rFonts w:hint="eastAsia" w:ascii="Times New Roman" w:hAnsi="宋体"/>
          <w:sz w:val="24"/>
          <w:szCs w:val="24"/>
        </w:rPr>
        <w:t>经调整而</w:t>
      </w:r>
      <w:r>
        <w:rPr>
          <w:rFonts w:ascii="Times New Roman" w:hAnsi="宋体"/>
          <w:sz w:val="24"/>
          <w:szCs w:val="24"/>
        </w:rPr>
        <w:t>持有的股权比例＝下轮融资完成前</w:t>
      </w:r>
      <w:r>
        <w:rPr>
          <w:rFonts w:hint="eastAsia" w:ascii="Times New Roman" w:hAnsi="宋体"/>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股权比例×</w:t>
      </w:r>
      <w:r>
        <w:rPr>
          <w:rFonts w:hint="eastAsia" w:ascii="Times New Roman" w:hAnsi="宋体"/>
          <w:sz w:val="24"/>
          <w:szCs w:val="24"/>
        </w:rPr>
        <w:t>(人民币1000万元</w:t>
      </w:r>
      <w:r>
        <w:rPr>
          <w:rFonts w:ascii="Times New Roman" w:hAnsi="宋体"/>
          <w:sz w:val="24"/>
          <w:szCs w:val="24"/>
        </w:rPr>
        <w:t>/</w:t>
      </w:r>
      <w:r>
        <w:rPr>
          <w:rFonts w:ascii="Times New Roman" w:hAnsi="宋体"/>
          <w:b/>
          <w:sz w:val="24"/>
          <w:szCs w:val="24"/>
        </w:rPr>
        <w:t>下轮融资低估值</w:t>
      </w:r>
      <w:r>
        <w:rPr>
          <w:rFonts w:hint="eastAsia" w:ascii="Times New Roman" w:hAnsi="宋体"/>
          <w:sz w:val="24"/>
          <w:szCs w:val="24"/>
        </w:rPr>
        <w:t>)</w:t>
      </w:r>
      <w:r>
        <w:rPr>
          <w:rFonts w:ascii="Times New Roman" w:hAnsi="宋体"/>
          <w:sz w:val="24"/>
          <w:szCs w:val="24"/>
        </w:rPr>
        <w:t>。</w:t>
      </w:r>
    </w:p>
    <w:p>
      <w:pPr>
        <w:pStyle w:val="20"/>
        <w:tabs>
          <w:tab w:val="left" w:pos="1276"/>
        </w:tabs>
        <w:spacing w:line="440" w:lineRule="exact"/>
        <w:ind w:left="454" w:firstLine="0" w:firstLineChars="0"/>
        <w:rPr>
          <w:rFonts w:ascii="Times New Roman" w:hAnsi="宋体"/>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ascii="Times New Roman" w:hAnsi="宋体"/>
          <w:sz w:val="24"/>
          <w:szCs w:val="24"/>
        </w:rPr>
        <w:t>在上述情况下，</w:t>
      </w:r>
      <w:r>
        <w:rPr>
          <w:rFonts w:hint="eastAsia" w:ascii="Times New Roman" w:hAnsi="宋体"/>
          <w:b/>
          <w:sz w:val="24"/>
          <w:szCs w:val="24"/>
        </w:rPr>
        <w:t>创始人股东</w:t>
      </w:r>
      <w:r>
        <w:rPr>
          <w:rFonts w:ascii="Times New Roman" w:hAnsi="宋体"/>
          <w:sz w:val="24"/>
          <w:szCs w:val="24"/>
        </w:rPr>
        <w:t>应在下轮融资交割前与</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共同签署相应的《股权转让协议》，并无偿</w:t>
      </w:r>
      <w:r>
        <w:rPr>
          <w:rFonts w:hint="eastAsia" w:ascii="Times New Roman" w:hAnsi="宋体"/>
          <w:sz w:val="24"/>
          <w:szCs w:val="24"/>
        </w:rPr>
        <w:t>（</w:t>
      </w:r>
      <w:r>
        <w:rPr>
          <w:rFonts w:ascii="Times New Roman" w:hAnsi="宋体"/>
          <w:sz w:val="24"/>
          <w:szCs w:val="24"/>
        </w:rPr>
        <w:t>或以人民币1元或法律允许的最低价格</w:t>
      </w:r>
      <w:r>
        <w:rPr>
          <w:rFonts w:hint="eastAsia" w:ascii="Times New Roman" w:hAnsi="宋体"/>
          <w:sz w:val="24"/>
          <w:szCs w:val="24"/>
        </w:rPr>
        <w:t>）</w:t>
      </w:r>
      <w:r>
        <w:rPr>
          <w:rFonts w:ascii="Times New Roman" w:hAnsi="宋体"/>
          <w:sz w:val="24"/>
          <w:szCs w:val="24"/>
        </w:rPr>
        <w:t>向</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转让一部分股权，使得</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在</w:t>
      </w:r>
      <w:r>
        <w:rPr>
          <w:rFonts w:ascii="Times New Roman" w:hAnsi="宋体"/>
          <w:b/>
          <w:sz w:val="24"/>
          <w:szCs w:val="24"/>
        </w:rPr>
        <w:t>公司</w:t>
      </w:r>
      <w:r>
        <w:rPr>
          <w:rFonts w:ascii="Times New Roman" w:hAnsi="宋体"/>
          <w:sz w:val="24"/>
          <w:szCs w:val="24"/>
        </w:rPr>
        <w:t>持有的股权达到上述公式所得的结果。如果因为</w:t>
      </w:r>
      <w:r>
        <w:rPr>
          <w:rFonts w:hint="eastAsia" w:ascii="Times New Roman" w:hAnsi="宋体"/>
          <w:sz w:val="24"/>
          <w:szCs w:val="24"/>
        </w:rPr>
        <w:t>任一</w:t>
      </w:r>
      <w:r>
        <w:rPr>
          <w:rFonts w:hint="eastAsia" w:ascii="Times New Roman" w:hAnsi="宋体"/>
          <w:b/>
          <w:sz w:val="24"/>
          <w:szCs w:val="24"/>
        </w:rPr>
        <w:t>创始人股东</w:t>
      </w:r>
      <w:r>
        <w:rPr>
          <w:rFonts w:ascii="Times New Roman" w:hAnsi="宋体"/>
          <w:sz w:val="24"/>
          <w:szCs w:val="24"/>
        </w:rPr>
        <w:t>的原因造成相应的股权转让没有履行或者不能履行，则</w:t>
      </w:r>
      <w:r>
        <w:rPr>
          <w:rFonts w:hint="eastAsia" w:ascii="Times New Roman" w:hAnsi="宋体"/>
          <w:sz w:val="24"/>
          <w:szCs w:val="24"/>
        </w:rPr>
        <w:t>该</w:t>
      </w:r>
      <w:r>
        <w:rPr>
          <w:rFonts w:hint="eastAsia" w:ascii="Times New Roman" w:hAnsi="宋体"/>
          <w:b/>
          <w:sz w:val="24"/>
          <w:szCs w:val="24"/>
        </w:rPr>
        <w:t>创始人股东</w:t>
      </w:r>
      <w:r>
        <w:rPr>
          <w:rFonts w:ascii="Times New Roman" w:hAnsi="宋体"/>
          <w:sz w:val="24"/>
          <w:szCs w:val="24"/>
        </w:rPr>
        <w:t>应承担违约责任。</w:t>
      </w:r>
    </w:p>
    <w:p>
      <w:pPr>
        <w:pStyle w:val="20"/>
        <w:spacing w:line="440" w:lineRule="exact"/>
        <w:ind w:left="454" w:firstLine="0" w:firstLineChars="0"/>
        <w:rPr>
          <w:rFonts w:ascii="Times New Roman" w:hAnsi="宋体"/>
          <w:sz w:val="24"/>
          <w:szCs w:val="24"/>
        </w:rPr>
      </w:pPr>
    </w:p>
    <w:p>
      <w:pPr>
        <w:pStyle w:val="20"/>
        <w:numPr>
          <w:ilvl w:val="8"/>
          <w:numId w:val="7"/>
        </w:numPr>
        <w:tabs>
          <w:tab w:val="left" w:pos="851"/>
          <w:tab w:val="clear" w:pos="4321"/>
        </w:tabs>
        <w:spacing w:line="440" w:lineRule="exact"/>
        <w:ind w:left="851" w:hanging="425" w:firstLineChars="0"/>
        <w:rPr>
          <w:rFonts w:ascii="Times New Roman" w:hAnsi="宋体"/>
          <w:sz w:val="24"/>
          <w:szCs w:val="24"/>
        </w:rPr>
      </w:pPr>
      <w:r>
        <w:rPr>
          <w:rFonts w:hint="eastAsia" w:ascii="Times New Roman" w:hAnsi="宋体"/>
          <w:sz w:val="24"/>
          <w:szCs w:val="24"/>
        </w:rPr>
        <w:t>为免歧义，如果</w:t>
      </w:r>
      <w:r>
        <w:rPr>
          <w:rFonts w:hint="eastAsia" w:ascii="Times New Roman" w:hAnsi="宋体"/>
          <w:b/>
          <w:sz w:val="24"/>
          <w:szCs w:val="24"/>
        </w:rPr>
        <w:t>投资人</w:t>
      </w:r>
      <w:r>
        <w:rPr>
          <w:rFonts w:hint="eastAsia" w:ascii="Times New Roman" w:hAnsi="宋体"/>
          <w:sz w:val="24"/>
          <w:szCs w:val="24"/>
        </w:rPr>
        <w:t>在</w:t>
      </w:r>
      <w:r>
        <w:rPr>
          <w:rFonts w:hint="eastAsia" w:ascii="Times New Roman" w:hAnsi="宋体"/>
          <w:b/>
          <w:sz w:val="24"/>
          <w:szCs w:val="24"/>
        </w:rPr>
        <w:t>下轮融资</w:t>
      </w:r>
      <w:r>
        <w:rPr>
          <w:rFonts w:hint="eastAsia" w:ascii="Times New Roman" w:hAnsi="宋体"/>
          <w:sz w:val="24"/>
          <w:szCs w:val="24"/>
        </w:rPr>
        <w:t>时基于其行使</w:t>
      </w:r>
      <w:r>
        <w:rPr>
          <w:rFonts w:hint="eastAsia" w:ascii="Times New Roman" w:hAnsi="宋体"/>
          <w:b/>
          <w:sz w:val="24"/>
          <w:szCs w:val="24"/>
        </w:rPr>
        <w:t>本协议</w:t>
      </w:r>
      <w:r>
        <w:rPr>
          <w:rFonts w:hint="eastAsia" w:ascii="Times New Roman" w:hAnsi="宋体"/>
          <w:sz w:val="24"/>
          <w:szCs w:val="24"/>
        </w:rPr>
        <w:t>第十一条项下优先认购权而新获得任何股权，则</w:t>
      </w:r>
      <w:r>
        <w:rPr>
          <w:rFonts w:ascii="Times New Roman" w:hAnsi="宋体"/>
          <w:b/>
          <w:sz w:val="24"/>
          <w:szCs w:val="24"/>
        </w:rPr>
        <w:t>投资</w:t>
      </w:r>
      <w:r>
        <w:rPr>
          <w:rFonts w:hint="eastAsia" w:ascii="Times New Roman" w:hAnsi="宋体"/>
          <w:b/>
          <w:sz w:val="24"/>
          <w:szCs w:val="24"/>
        </w:rPr>
        <w:t>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完成时持有</w:t>
      </w:r>
      <w:r>
        <w:rPr>
          <w:rFonts w:hint="eastAsia" w:ascii="Times New Roman" w:hAnsi="宋体"/>
          <w:sz w:val="24"/>
          <w:szCs w:val="24"/>
        </w:rPr>
        <w:t>的总</w:t>
      </w:r>
      <w:r>
        <w:rPr>
          <w:rFonts w:ascii="Times New Roman" w:hAnsi="宋体"/>
          <w:sz w:val="24"/>
          <w:szCs w:val="24"/>
        </w:rPr>
        <w:t>股权比例</w:t>
      </w:r>
      <w:r>
        <w:rPr>
          <w:rFonts w:hint="eastAsia" w:ascii="Times New Roman" w:hAnsi="宋体"/>
          <w:sz w:val="24"/>
          <w:szCs w:val="24"/>
        </w:rPr>
        <w:t>为如下两部分之和：（1）</w:t>
      </w:r>
      <w:r>
        <w:rPr>
          <w:rFonts w:hint="eastAsia" w:ascii="Times New Roman" w:hAnsi="宋体"/>
          <w:b/>
          <w:sz w:val="24"/>
          <w:szCs w:val="24"/>
        </w:rPr>
        <w:t>投资人</w:t>
      </w:r>
      <w:r>
        <w:rPr>
          <w:rFonts w:hint="eastAsia" w:ascii="Times New Roman" w:hAnsi="宋体"/>
          <w:sz w:val="24"/>
          <w:szCs w:val="24"/>
        </w:rPr>
        <w:t>依照本条的约定经反稀释调整而持有的股权比例；和（2）</w:t>
      </w:r>
      <w:r>
        <w:rPr>
          <w:rFonts w:hint="eastAsia" w:ascii="Times New Roman" w:hAnsi="宋体"/>
          <w:b/>
          <w:sz w:val="24"/>
          <w:szCs w:val="24"/>
        </w:rPr>
        <w:t>投资人</w:t>
      </w:r>
      <w:r>
        <w:rPr>
          <w:rFonts w:hint="eastAsia" w:ascii="Times New Roman" w:hAnsi="宋体"/>
          <w:sz w:val="24"/>
          <w:szCs w:val="24"/>
        </w:rPr>
        <w:t>在下轮融资时基于其行使本协议第十一条项下优先认购权而新获得股权所占</w:t>
      </w:r>
      <w:r>
        <w:rPr>
          <w:rFonts w:hint="eastAsia" w:ascii="Times New Roman" w:hAnsi="宋体"/>
          <w:b/>
          <w:sz w:val="24"/>
          <w:szCs w:val="24"/>
        </w:rPr>
        <w:t>公司</w:t>
      </w:r>
      <w:r>
        <w:rPr>
          <w:rFonts w:hint="eastAsia" w:ascii="Times New Roman" w:hAnsi="宋体"/>
          <w:sz w:val="24"/>
          <w:szCs w:val="24"/>
        </w:rPr>
        <w:t>的股权比例。</w:t>
      </w:r>
    </w:p>
    <w:p>
      <w:pPr>
        <w:rPr>
          <w:rFonts w:ascii="Times New Roman" w:hAnsi="Times New Roman"/>
          <w:sz w:val="24"/>
          <w:szCs w:val="24"/>
        </w:rPr>
      </w:pPr>
    </w:p>
    <w:p>
      <w:pPr>
        <w:pStyle w:val="3"/>
        <w:numPr>
          <w:ilvl w:val="1"/>
          <w:numId w:val="7"/>
        </w:numPr>
        <w:rPr>
          <w:rFonts w:ascii="宋体" w:hAnsi="宋体" w:eastAsia="宋体"/>
          <w:b/>
        </w:rPr>
      </w:pPr>
      <w:bookmarkStart w:id="24" w:name="_Toc405278780"/>
      <w:r>
        <w:rPr>
          <w:rFonts w:ascii="宋体" w:hAnsi="宋体" w:eastAsia="宋体"/>
          <w:b/>
        </w:rPr>
        <w:t>优先投资权</w:t>
      </w:r>
      <w:bookmarkEnd w:id="24"/>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若</w:t>
      </w:r>
      <w:r>
        <w:rPr>
          <w:rFonts w:ascii="Times New Roman" w:hAnsi="宋体"/>
          <w:b/>
          <w:sz w:val="24"/>
          <w:szCs w:val="24"/>
        </w:rPr>
        <w:t>公司</w:t>
      </w:r>
      <w:r>
        <w:rPr>
          <w:rFonts w:ascii="Times New Roman" w:hAnsi="宋体"/>
          <w:sz w:val="24"/>
          <w:szCs w:val="24"/>
        </w:rPr>
        <w:t>发生清算事件且</w:t>
      </w:r>
      <w:r>
        <w:rPr>
          <w:rFonts w:ascii="Times New Roman" w:hAnsi="宋体"/>
          <w:b/>
          <w:sz w:val="24"/>
          <w:szCs w:val="24"/>
        </w:rPr>
        <w:t>投资人</w:t>
      </w:r>
      <w:r>
        <w:rPr>
          <w:rFonts w:ascii="Times New Roman" w:hAnsi="宋体"/>
          <w:sz w:val="24"/>
          <w:szCs w:val="24"/>
        </w:rPr>
        <w:t>未收回</w:t>
      </w:r>
      <w:r>
        <w:rPr>
          <w:rFonts w:hint="eastAsia" w:ascii="Times New Roman" w:hAnsi="宋体"/>
          <w:sz w:val="24"/>
          <w:szCs w:val="24"/>
        </w:rPr>
        <w:t>全部</w:t>
      </w:r>
      <w:r>
        <w:rPr>
          <w:rFonts w:ascii="Times New Roman" w:hAnsi="宋体"/>
          <w:sz w:val="24"/>
          <w:szCs w:val="24"/>
        </w:rPr>
        <w:t>投资款，自</w:t>
      </w:r>
      <w:r>
        <w:rPr>
          <w:rFonts w:ascii="Times New Roman" w:hAnsi="宋体"/>
          <w:b/>
          <w:sz w:val="24"/>
          <w:szCs w:val="24"/>
        </w:rPr>
        <w:t>清算事件</w:t>
      </w:r>
      <w:r>
        <w:rPr>
          <w:rFonts w:ascii="Times New Roman" w:hAnsi="宋体"/>
          <w:sz w:val="24"/>
          <w:szCs w:val="24"/>
        </w:rPr>
        <w:t>发生之日起</w:t>
      </w:r>
      <w:r>
        <w:rPr>
          <w:rFonts w:ascii="Times New Roman" w:hAnsi="Times New Roman"/>
          <w:sz w:val="24"/>
          <w:szCs w:val="24"/>
        </w:rPr>
        <w:t>5</w:t>
      </w:r>
      <w:r>
        <w:rPr>
          <w:rFonts w:ascii="Times New Roman" w:hAnsi="宋体"/>
          <w:sz w:val="24"/>
          <w:szCs w:val="24"/>
        </w:rPr>
        <w:t>年内</w:t>
      </w:r>
      <w:r>
        <w:rPr>
          <w:rFonts w:ascii="Times New Roman" w:hAnsi="宋体"/>
          <w:b/>
          <w:sz w:val="24"/>
          <w:szCs w:val="24"/>
        </w:rPr>
        <w:t>创始人</w:t>
      </w:r>
      <w:r>
        <w:rPr>
          <w:rFonts w:ascii="Times New Roman" w:hAnsi="宋体"/>
          <w:sz w:val="24"/>
          <w:szCs w:val="24"/>
        </w:rPr>
        <w:t>从事新项目的，在该新项目拟进行第一次融资时，</w:t>
      </w:r>
      <w:r>
        <w:rPr>
          <w:rFonts w:ascii="Times New Roman" w:hAnsi="宋体"/>
          <w:b/>
          <w:sz w:val="24"/>
          <w:szCs w:val="24"/>
        </w:rPr>
        <w:t>创始人</w:t>
      </w:r>
      <w:r>
        <w:rPr>
          <w:rFonts w:ascii="Times New Roman" w:hAnsi="宋体"/>
          <w:sz w:val="24"/>
          <w:szCs w:val="24"/>
        </w:rPr>
        <w:t>应提前向</w:t>
      </w:r>
      <w:r>
        <w:rPr>
          <w:rFonts w:ascii="Times New Roman" w:hAnsi="宋体"/>
          <w:b/>
          <w:sz w:val="24"/>
          <w:szCs w:val="24"/>
        </w:rPr>
        <w:t>投资人</w:t>
      </w:r>
      <w:r>
        <w:rPr>
          <w:rFonts w:ascii="Times New Roman" w:hAnsi="宋体"/>
          <w:sz w:val="24"/>
          <w:szCs w:val="24"/>
        </w:rPr>
        <w:t>披露该新项目的相关信息。</w:t>
      </w:r>
      <w:r>
        <w:rPr>
          <w:rFonts w:hint="eastAsia" w:ascii="Times New Roman" w:hAnsi="宋体"/>
          <w:sz w:val="24"/>
          <w:szCs w:val="24"/>
        </w:rPr>
        <w:t>在同等条件下，</w:t>
      </w:r>
      <w:r>
        <w:rPr>
          <w:rFonts w:ascii="Times New Roman" w:hAnsi="宋体"/>
          <w:b/>
          <w:sz w:val="24"/>
          <w:szCs w:val="24"/>
        </w:rPr>
        <w:t>投资人</w:t>
      </w:r>
      <w:r>
        <w:rPr>
          <w:rFonts w:ascii="Times New Roman" w:hAnsi="宋体"/>
          <w:sz w:val="24"/>
          <w:szCs w:val="24"/>
        </w:rPr>
        <w:t>有权优先于其他人对该新项目进行投资，且</w:t>
      </w:r>
      <w:r>
        <w:rPr>
          <w:rFonts w:ascii="Times New Roman" w:hAnsi="宋体"/>
          <w:b/>
          <w:sz w:val="24"/>
          <w:szCs w:val="24"/>
        </w:rPr>
        <w:t>创始人</w:t>
      </w:r>
      <w:r>
        <w:rPr>
          <w:rFonts w:ascii="Times New Roman" w:hAnsi="宋体"/>
          <w:sz w:val="24"/>
          <w:szCs w:val="24"/>
        </w:rPr>
        <w:t>有义务促成</w:t>
      </w:r>
      <w:r>
        <w:rPr>
          <w:rFonts w:ascii="Times New Roman" w:hAnsi="宋体"/>
          <w:b/>
          <w:sz w:val="24"/>
          <w:szCs w:val="24"/>
        </w:rPr>
        <w:t>投资人</w:t>
      </w:r>
      <w:r>
        <w:rPr>
          <w:rFonts w:ascii="Times New Roman" w:hAnsi="宋体"/>
          <w:sz w:val="24"/>
          <w:szCs w:val="24"/>
        </w:rPr>
        <w:t>对该新项目有优先投资权。</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5" w:name="_Toc405278781"/>
      <w:r>
        <w:rPr>
          <w:rFonts w:ascii="宋体" w:hAnsi="宋体" w:eastAsia="宋体"/>
          <w:b/>
        </w:rPr>
        <w:t>信息权</w:t>
      </w:r>
      <w:bookmarkEnd w:id="25"/>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签署后，</w:t>
      </w:r>
      <w:r>
        <w:rPr>
          <w:rFonts w:ascii="Times New Roman" w:hAnsi="宋体"/>
          <w:b/>
          <w:sz w:val="24"/>
          <w:szCs w:val="24"/>
        </w:rPr>
        <w:t>公司</w:t>
      </w:r>
      <w:r>
        <w:rPr>
          <w:rFonts w:ascii="Times New Roman" w:hAnsi="宋体"/>
          <w:sz w:val="24"/>
          <w:szCs w:val="24"/>
        </w:rPr>
        <w:t>应将以下报表或文件，在规定时间内报送</w:t>
      </w:r>
      <w:r>
        <w:rPr>
          <w:rFonts w:ascii="Times New Roman" w:hAnsi="宋体"/>
          <w:b/>
          <w:sz w:val="24"/>
          <w:szCs w:val="24"/>
        </w:rPr>
        <w:t>投资人</w:t>
      </w:r>
      <w:r>
        <w:rPr>
          <w:rFonts w:ascii="Times New Roman" w:hAnsi="宋体"/>
          <w:sz w:val="24"/>
          <w:szCs w:val="24"/>
        </w:rPr>
        <w:t>，同时建档留存备查：</w:t>
      </w:r>
    </w:p>
    <w:p>
      <w:pPr>
        <w:rPr>
          <w:rFonts w:ascii="Times New Roman" w:hAnsi="Times New Roman"/>
          <w:sz w:val="24"/>
          <w:szCs w:val="24"/>
        </w:rPr>
      </w:pPr>
    </w:p>
    <w:p>
      <w:pPr>
        <w:pStyle w:val="20"/>
        <w:numPr>
          <w:ilvl w:val="0"/>
          <w:numId w:val="18"/>
        </w:numPr>
        <w:tabs>
          <w:tab w:val="left" w:pos="1418"/>
        </w:tabs>
        <w:adjustRightInd w:val="0"/>
        <w:snapToGrid w:val="0"/>
        <w:spacing w:line="440" w:lineRule="exact"/>
        <w:ind w:left="1418" w:hanging="567" w:firstLineChars="0"/>
        <w:outlineLvl w:val="3"/>
        <w:rPr>
          <w:rFonts w:ascii="Times New Roman" w:hAnsi="Times New Roman"/>
          <w:sz w:val="24"/>
          <w:szCs w:val="24"/>
        </w:rPr>
      </w:pPr>
      <w:r>
        <w:rPr>
          <w:rFonts w:ascii="Times New Roman" w:hAnsi="宋体"/>
          <w:sz w:val="24"/>
          <w:szCs w:val="24"/>
        </w:rPr>
        <w:t>每一个</w:t>
      </w:r>
      <w:r>
        <w:rPr>
          <w:rFonts w:hint="eastAsia" w:ascii="Times New Roman" w:hAnsi="宋体"/>
          <w:sz w:val="24"/>
          <w:szCs w:val="24"/>
        </w:rPr>
        <w:t>季度</w:t>
      </w:r>
      <w:r>
        <w:rPr>
          <w:rFonts w:ascii="Times New Roman" w:hAnsi="宋体"/>
          <w:sz w:val="24"/>
          <w:szCs w:val="24"/>
        </w:rPr>
        <w:t>结束后</w:t>
      </w:r>
      <w:r>
        <w:rPr>
          <w:rFonts w:ascii="Times New Roman" w:hAnsi="Times New Roman"/>
          <w:sz w:val="24"/>
          <w:szCs w:val="24"/>
        </w:rPr>
        <w:t>30</w:t>
      </w:r>
      <w:r>
        <w:rPr>
          <w:rFonts w:ascii="Times New Roman" w:hAnsi="宋体"/>
          <w:sz w:val="24"/>
          <w:szCs w:val="24"/>
        </w:rPr>
        <w:t>日内，送交该</w:t>
      </w:r>
      <w:r>
        <w:rPr>
          <w:rFonts w:hint="eastAsia" w:ascii="Times New Roman" w:hAnsi="宋体"/>
          <w:sz w:val="24"/>
          <w:szCs w:val="24"/>
        </w:rPr>
        <w:t>季度</w:t>
      </w:r>
      <w:r>
        <w:rPr>
          <w:rFonts w:ascii="Times New Roman" w:hAnsi="宋体"/>
          <w:sz w:val="24"/>
          <w:szCs w:val="24"/>
        </w:rPr>
        <w:t>财务报表；</w:t>
      </w:r>
    </w:p>
    <w:p>
      <w:pPr>
        <w:pStyle w:val="20"/>
        <w:numPr>
          <w:ilvl w:val="0"/>
          <w:numId w:val="18"/>
        </w:numPr>
        <w:tabs>
          <w:tab w:val="left" w:pos="1418"/>
        </w:tabs>
        <w:adjustRightInd w:val="0"/>
        <w:snapToGrid w:val="0"/>
        <w:spacing w:line="440" w:lineRule="exact"/>
        <w:ind w:left="1418" w:hanging="567" w:firstLineChars="0"/>
        <w:outlineLvl w:val="3"/>
        <w:rPr>
          <w:rFonts w:ascii="Times New Roman" w:hAnsi="宋体"/>
          <w:sz w:val="24"/>
          <w:szCs w:val="24"/>
        </w:rPr>
      </w:pPr>
      <w:r>
        <w:rPr>
          <w:rFonts w:ascii="Times New Roman" w:hAnsi="宋体"/>
          <w:sz w:val="24"/>
          <w:szCs w:val="24"/>
        </w:rPr>
        <w:t>每一个会计年度结束后90日内，送交经会计师事务所审计的该年度财务报表；</w:t>
      </w:r>
    </w:p>
    <w:p>
      <w:pPr>
        <w:pStyle w:val="20"/>
        <w:numPr>
          <w:ilvl w:val="0"/>
          <w:numId w:val="18"/>
        </w:numPr>
        <w:tabs>
          <w:tab w:val="left" w:pos="1418"/>
        </w:tabs>
        <w:adjustRightInd w:val="0"/>
        <w:snapToGrid w:val="0"/>
        <w:spacing w:line="440" w:lineRule="exact"/>
        <w:ind w:left="1418" w:hanging="567" w:firstLineChars="0"/>
        <w:outlineLvl w:val="3"/>
        <w:rPr>
          <w:rFonts w:ascii="Times New Roman" w:hAnsi="宋体"/>
          <w:sz w:val="24"/>
          <w:szCs w:val="24"/>
        </w:rPr>
      </w:pPr>
      <w:r>
        <w:rPr>
          <w:rFonts w:ascii="Times New Roman" w:hAnsi="宋体"/>
          <w:sz w:val="24"/>
          <w:szCs w:val="24"/>
        </w:rPr>
        <w:t>每一会计年度结束前30日内，送交下一年度综合预算。</w:t>
      </w:r>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应就可能对</w:t>
      </w:r>
      <w:r>
        <w:rPr>
          <w:rFonts w:ascii="Times New Roman" w:hAnsi="宋体"/>
          <w:b/>
          <w:sz w:val="24"/>
          <w:szCs w:val="24"/>
        </w:rPr>
        <w:t>公司</w:t>
      </w:r>
      <w:r>
        <w:rPr>
          <w:rFonts w:ascii="Times New Roman" w:hAnsi="宋体"/>
          <w:sz w:val="24"/>
          <w:szCs w:val="24"/>
        </w:rPr>
        <w:t>造成重大义务或产生重大影响的事项，及时通知</w:t>
      </w:r>
      <w:r>
        <w:rPr>
          <w:rFonts w:ascii="Times New Roman" w:hAnsi="宋体"/>
          <w:b/>
          <w:sz w:val="24"/>
          <w:szCs w:val="24"/>
        </w:rPr>
        <w:t>投资人</w:t>
      </w:r>
      <w:r>
        <w:rPr>
          <w:rFonts w:ascii="Times New Roman" w:hAnsi="宋体"/>
          <w:sz w:val="24"/>
          <w:szCs w:val="24"/>
        </w:rPr>
        <w:t>。</w:t>
      </w:r>
    </w:p>
    <w:p>
      <w:pPr>
        <w:rPr>
          <w:rFonts w:ascii="Times New Roman" w:hAnsi="Times New Roman"/>
          <w:sz w:val="24"/>
          <w:szCs w:val="24"/>
        </w:rPr>
      </w:pPr>
    </w:p>
    <w:p>
      <w:pPr>
        <w:pStyle w:val="20"/>
        <w:numPr>
          <w:ilvl w:val="1"/>
          <w:numId w:val="17"/>
        </w:numPr>
        <w:tabs>
          <w:tab w:val="left" w:pos="851"/>
        </w:tabs>
        <w:spacing w:line="440" w:lineRule="exact"/>
        <w:ind w:left="851" w:hanging="397" w:firstLineChars="0"/>
        <w:rPr>
          <w:rFonts w:ascii="Times New Roman" w:hAnsi="Times New Roman"/>
          <w:sz w:val="24"/>
          <w:szCs w:val="24"/>
        </w:rPr>
      </w:pPr>
      <w:r>
        <w:rPr>
          <w:rFonts w:ascii="Times New Roman" w:hAnsi="宋体"/>
          <w:b/>
          <w:sz w:val="24"/>
          <w:szCs w:val="24"/>
        </w:rPr>
        <w:t>投资人</w:t>
      </w:r>
      <w:r>
        <w:rPr>
          <w:rFonts w:ascii="Times New Roman" w:hAnsi="宋体"/>
          <w:sz w:val="24"/>
          <w:szCs w:val="24"/>
        </w:rPr>
        <w:t>如对任何信息存有疑问，可在给予</w:t>
      </w:r>
      <w:r>
        <w:rPr>
          <w:rFonts w:ascii="Times New Roman" w:hAnsi="宋体"/>
          <w:b/>
          <w:sz w:val="24"/>
          <w:szCs w:val="24"/>
        </w:rPr>
        <w:t>公司</w:t>
      </w:r>
      <w:r>
        <w:rPr>
          <w:rFonts w:ascii="Times New Roman" w:hAnsi="宋体"/>
          <w:sz w:val="24"/>
          <w:szCs w:val="24"/>
        </w:rPr>
        <w:t>合理通知的前提下，查看</w:t>
      </w:r>
      <w:r>
        <w:rPr>
          <w:rFonts w:ascii="Times New Roman" w:hAnsi="宋体"/>
          <w:b/>
          <w:sz w:val="24"/>
          <w:szCs w:val="24"/>
        </w:rPr>
        <w:t>公司</w:t>
      </w:r>
      <w:r>
        <w:rPr>
          <w:rFonts w:ascii="Times New Roman" w:hAnsi="宋体"/>
          <w:sz w:val="24"/>
          <w:szCs w:val="24"/>
        </w:rPr>
        <w:t>相关财务资料，了解</w:t>
      </w:r>
      <w:r>
        <w:rPr>
          <w:rFonts w:ascii="Times New Roman" w:hAnsi="宋体"/>
          <w:b/>
          <w:sz w:val="24"/>
          <w:szCs w:val="24"/>
        </w:rPr>
        <w:t>公司</w:t>
      </w:r>
      <w:r>
        <w:rPr>
          <w:rFonts w:ascii="Times New Roman" w:hAnsi="宋体"/>
          <w:sz w:val="24"/>
          <w:szCs w:val="24"/>
        </w:rPr>
        <w:t>财务运营状况。除</w:t>
      </w:r>
      <w:r>
        <w:rPr>
          <w:rFonts w:ascii="Times New Roman" w:hAnsi="宋体"/>
          <w:b/>
          <w:sz w:val="24"/>
          <w:szCs w:val="24"/>
        </w:rPr>
        <w:t>公司</w:t>
      </w:r>
      <w:r>
        <w:rPr>
          <w:rFonts w:ascii="Times New Roman" w:hAnsi="宋体"/>
          <w:sz w:val="24"/>
          <w:szCs w:val="24"/>
        </w:rPr>
        <w:t>年度审计外，</w:t>
      </w:r>
      <w:r>
        <w:rPr>
          <w:rFonts w:ascii="Times New Roman" w:hAnsi="宋体"/>
          <w:b/>
          <w:sz w:val="24"/>
          <w:szCs w:val="24"/>
        </w:rPr>
        <w:t>投资人</w:t>
      </w:r>
      <w:r>
        <w:rPr>
          <w:rFonts w:ascii="Times New Roman" w:hAnsi="宋体"/>
          <w:sz w:val="24"/>
          <w:szCs w:val="24"/>
        </w:rPr>
        <w:t>有权自行聘任会计师事务所对</w:t>
      </w:r>
      <w:r>
        <w:rPr>
          <w:rFonts w:ascii="Times New Roman" w:hAnsi="宋体"/>
          <w:b/>
          <w:sz w:val="24"/>
          <w:szCs w:val="24"/>
        </w:rPr>
        <w:t>公司</w:t>
      </w:r>
      <w:r>
        <w:rPr>
          <w:rFonts w:ascii="Times New Roman" w:hAnsi="宋体"/>
          <w:sz w:val="24"/>
          <w:szCs w:val="24"/>
        </w:rPr>
        <w:t>进行审计。</w:t>
      </w:r>
    </w:p>
    <w:p>
      <w:pPr>
        <w:pStyle w:val="2"/>
        <w:numPr>
          <w:ilvl w:val="0"/>
          <w:numId w:val="6"/>
        </w:numPr>
        <w:jc w:val="center"/>
        <w:rPr>
          <w:rFonts w:ascii="Times New Roman" w:hAnsi="宋体"/>
          <w:sz w:val="24"/>
          <w:szCs w:val="24"/>
        </w:rPr>
      </w:pPr>
      <w:bookmarkStart w:id="26" w:name="_Toc405278782"/>
      <w:r>
        <w:rPr>
          <w:rFonts w:ascii="Times New Roman" w:hAnsi="宋体"/>
          <w:sz w:val="24"/>
          <w:szCs w:val="24"/>
        </w:rPr>
        <w:t>公司治理</w:t>
      </w:r>
      <w:bookmarkEnd w:id="26"/>
    </w:p>
    <w:p>
      <w:pPr>
        <w:pStyle w:val="3"/>
        <w:numPr>
          <w:ilvl w:val="1"/>
          <w:numId w:val="7"/>
        </w:numPr>
        <w:rPr>
          <w:rFonts w:ascii="宋体" w:hAnsi="宋体" w:eastAsia="宋体"/>
          <w:b/>
        </w:rPr>
      </w:pPr>
      <w:bookmarkStart w:id="27" w:name="_Toc405278783"/>
      <w:r>
        <w:rPr>
          <w:rFonts w:ascii="宋体" w:hAnsi="宋体" w:eastAsia="宋体"/>
          <w:b/>
        </w:rPr>
        <w:t>董事会</w:t>
      </w:r>
      <w:bookmarkEnd w:id="27"/>
      <w:r>
        <w:rPr>
          <w:rFonts w:ascii="宋体" w:hAnsi="宋体" w:eastAsia="宋体"/>
          <w:b/>
        </w:rPr>
        <w:t xml:space="preserve"> </w:t>
      </w:r>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设立董事会，由</w:t>
      </w:r>
      <w:r>
        <w:rPr>
          <w:rFonts w:ascii="Times New Roman" w:hAnsi="Times New Roman"/>
          <w:sz w:val="24"/>
          <w:szCs w:val="24"/>
        </w:rPr>
        <w:t>[</w:t>
      </w:r>
      <w:r>
        <w:rPr>
          <w:rFonts w:hint="eastAsia" w:ascii="Times New Roman" w:hAnsi="Times New Roman"/>
          <w:sz w:val="24"/>
          <w:szCs w:val="24"/>
        </w:rPr>
        <w:t>3</w:t>
      </w:r>
      <w:r>
        <w:rPr>
          <w:rFonts w:ascii="Times New Roman" w:hAnsi="Times New Roman"/>
          <w:sz w:val="24"/>
          <w:szCs w:val="24"/>
        </w:rPr>
        <w:t>]</w:t>
      </w:r>
      <w:r>
        <w:rPr>
          <w:rFonts w:ascii="Times New Roman" w:hAnsi="宋体"/>
          <w:sz w:val="24"/>
          <w:szCs w:val="24"/>
        </w:rPr>
        <w:t>名董事组成</w:t>
      </w:r>
      <w:r>
        <w:rPr>
          <w:rFonts w:hint="eastAsia" w:ascii="Times New Roman" w:hAnsi="宋体"/>
          <w:sz w:val="24"/>
          <w:szCs w:val="24"/>
        </w:rPr>
        <w:t>。其中，</w:t>
      </w:r>
      <w:r>
        <w:rPr>
          <w:rFonts w:hint="eastAsia" w:ascii="Times New Roman" w:hAnsi="宋体"/>
          <w:b/>
          <w:sz w:val="24"/>
          <w:szCs w:val="24"/>
        </w:rPr>
        <w:t>创始人股东</w:t>
      </w:r>
      <w:r>
        <w:rPr>
          <w:rFonts w:hint="eastAsia" w:ascii="Times New Roman" w:hAnsi="宋体"/>
          <w:sz w:val="24"/>
          <w:szCs w:val="24"/>
        </w:rPr>
        <w:t>有权委派2名董事，</w:t>
      </w:r>
      <w:r>
        <w:rPr>
          <w:rFonts w:ascii="Times New Roman" w:hAnsi="宋体"/>
          <w:b/>
          <w:sz w:val="24"/>
          <w:szCs w:val="24"/>
        </w:rPr>
        <w:t>投资人</w:t>
      </w:r>
      <w:r>
        <w:rPr>
          <w:rFonts w:ascii="Times New Roman" w:hAnsi="宋体"/>
          <w:sz w:val="24"/>
          <w:szCs w:val="24"/>
        </w:rPr>
        <w:t>有权委派</w:t>
      </w:r>
      <w:r>
        <w:rPr>
          <w:rFonts w:hint="eastAsia" w:ascii="Times New Roman" w:hAnsi="宋体"/>
          <w:sz w:val="24"/>
          <w:szCs w:val="24"/>
        </w:rPr>
        <w:t>1</w:t>
      </w:r>
      <w:r>
        <w:rPr>
          <w:rFonts w:ascii="Times New Roman" w:hAnsi="宋体"/>
          <w:sz w:val="24"/>
          <w:szCs w:val="24"/>
        </w:rPr>
        <w:t>名董事。未经</w:t>
      </w:r>
      <w:r>
        <w:rPr>
          <w:rFonts w:ascii="Times New Roman" w:hAnsi="宋体"/>
          <w:b/>
          <w:sz w:val="24"/>
          <w:szCs w:val="24"/>
        </w:rPr>
        <w:t>投资人</w:t>
      </w:r>
      <w:r>
        <w:rPr>
          <w:rFonts w:ascii="Times New Roman" w:hAnsi="宋体"/>
          <w:sz w:val="24"/>
          <w:szCs w:val="24"/>
        </w:rPr>
        <w:t>同意，</w:t>
      </w:r>
      <w:r>
        <w:rPr>
          <w:rFonts w:ascii="Times New Roman" w:hAnsi="宋体"/>
          <w:b/>
          <w:sz w:val="24"/>
          <w:szCs w:val="24"/>
        </w:rPr>
        <w:t>公司</w:t>
      </w:r>
      <w:r>
        <w:rPr>
          <w:rFonts w:ascii="Times New Roman" w:hAnsi="宋体"/>
          <w:sz w:val="24"/>
          <w:szCs w:val="24"/>
        </w:rPr>
        <w:t>股东会不得撤换</w:t>
      </w:r>
      <w:r>
        <w:rPr>
          <w:rFonts w:ascii="Times New Roman" w:hAnsi="宋体"/>
          <w:b/>
          <w:sz w:val="24"/>
          <w:szCs w:val="24"/>
        </w:rPr>
        <w:t>投资人</w:t>
      </w:r>
      <w:r>
        <w:rPr>
          <w:rFonts w:ascii="Times New Roman" w:hAnsi="宋体"/>
          <w:sz w:val="24"/>
          <w:szCs w:val="24"/>
        </w:rPr>
        <w:t>委派的董事。</w:t>
      </w:r>
      <w:r>
        <w:rPr>
          <w:rFonts w:ascii="Times New Roman" w:hAnsi="Times New Roman"/>
          <w:sz w:val="24"/>
          <w:szCs w:val="24"/>
        </w:rPr>
        <w:t xml:space="preserve"> </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28" w:name="_Toc405278784"/>
      <w:r>
        <w:rPr>
          <w:rFonts w:ascii="宋体" w:hAnsi="宋体" w:eastAsia="宋体"/>
          <w:b/>
        </w:rPr>
        <w:t>保护性条款</w:t>
      </w:r>
      <w:bookmarkEnd w:id="28"/>
    </w:p>
    <w:p>
      <w:pPr>
        <w:rPr>
          <w:rFonts w:ascii="Times New Roman" w:hAnsi="Times New Roman"/>
          <w:sz w:val="24"/>
          <w:szCs w:val="24"/>
        </w:rPr>
      </w:pPr>
    </w:p>
    <w:p>
      <w:pPr>
        <w:pStyle w:val="20"/>
        <w:spacing w:line="440" w:lineRule="exact"/>
        <w:ind w:left="454" w:firstLine="0" w:firstLineChars="0"/>
        <w:rPr>
          <w:rFonts w:ascii="Times New Roman" w:hAnsi="Times New Roman"/>
          <w:sz w:val="24"/>
          <w:szCs w:val="24"/>
        </w:rPr>
      </w:pPr>
      <w:r>
        <w:rPr>
          <w:rFonts w:ascii="Times New Roman" w:hAnsi="宋体"/>
          <w:sz w:val="24"/>
          <w:szCs w:val="24"/>
        </w:rPr>
        <w:t>以下事项，须经</w:t>
      </w:r>
      <w:r>
        <w:rPr>
          <w:rFonts w:ascii="Times New Roman" w:hAnsi="宋体"/>
          <w:b/>
          <w:sz w:val="24"/>
          <w:szCs w:val="24"/>
        </w:rPr>
        <w:t>投资人</w:t>
      </w:r>
      <w:r>
        <w:rPr>
          <w:rFonts w:ascii="Times New Roman" w:hAnsi="宋体"/>
          <w:sz w:val="24"/>
          <w:szCs w:val="24"/>
        </w:rPr>
        <w:t>或</w:t>
      </w:r>
      <w:r>
        <w:rPr>
          <w:rFonts w:ascii="Times New Roman" w:hAnsi="宋体"/>
          <w:b/>
          <w:sz w:val="24"/>
          <w:szCs w:val="24"/>
        </w:rPr>
        <w:t>投资人</w:t>
      </w:r>
      <w:r>
        <w:rPr>
          <w:rFonts w:ascii="Times New Roman" w:hAnsi="宋体"/>
          <w:sz w:val="24"/>
          <w:szCs w:val="24"/>
        </w:rPr>
        <w:t>委派的董事书面同意方可实施：</w:t>
      </w:r>
    </w:p>
    <w:p>
      <w:pPr>
        <w:rPr>
          <w:rFonts w:ascii="Times New Roman" w:hAnsi="Times New Roman"/>
          <w:sz w:val="24"/>
          <w:szCs w:val="24"/>
        </w:rPr>
      </w:pP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b/>
          <w:sz w:val="24"/>
          <w:szCs w:val="24"/>
        </w:rPr>
        <w:t>公司</w:t>
      </w:r>
      <w:r>
        <w:rPr>
          <w:rFonts w:ascii="Times New Roman" w:hAnsi="宋体"/>
          <w:sz w:val="24"/>
          <w:szCs w:val="24"/>
        </w:rPr>
        <w:t>合并、分立、清算、解散或以各种形式终止经营业务；</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sz w:val="24"/>
          <w:szCs w:val="24"/>
        </w:rPr>
        <w:t>修改</w:t>
      </w:r>
      <w:r>
        <w:rPr>
          <w:rFonts w:ascii="Times New Roman" w:hAnsi="宋体"/>
          <w:b/>
          <w:sz w:val="24"/>
          <w:szCs w:val="24"/>
        </w:rPr>
        <w:t>公司</w:t>
      </w:r>
      <w:r>
        <w:rPr>
          <w:rFonts w:ascii="Times New Roman" w:hAnsi="宋体"/>
          <w:sz w:val="24"/>
          <w:szCs w:val="24"/>
        </w:rPr>
        <w:t>章程，增加或减少</w:t>
      </w:r>
      <w:r>
        <w:rPr>
          <w:rFonts w:ascii="Times New Roman" w:hAnsi="宋体"/>
          <w:b/>
          <w:sz w:val="24"/>
          <w:szCs w:val="24"/>
        </w:rPr>
        <w:t>公司</w:t>
      </w:r>
      <w:r>
        <w:rPr>
          <w:rFonts w:ascii="Times New Roman" w:hAnsi="宋体"/>
          <w:sz w:val="24"/>
          <w:szCs w:val="24"/>
        </w:rPr>
        <w:t>注册资本；</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sz w:val="24"/>
          <w:szCs w:val="24"/>
        </w:rPr>
        <w:t>董事会规模的扩大或缩小；</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ascii="Times New Roman" w:hAnsi="宋体"/>
          <w:kern w:val="0"/>
          <w:sz w:val="24"/>
          <w:szCs w:val="24"/>
        </w:rPr>
        <w:t>制定、批准或实施任何股权激励计划</w:t>
      </w:r>
      <w:r>
        <w:rPr>
          <w:rFonts w:ascii="Times New Roman" w:hAnsi="宋体"/>
          <w:sz w:val="24"/>
          <w:szCs w:val="24"/>
        </w:rPr>
        <w:t>；</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bookmarkStart w:id="29" w:name="_DV_M174"/>
      <w:bookmarkEnd w:id="29"/>
      <w:bookmarkStart w:id="30" w:name="_DV_M176"/>
      <w:bookmarkEnd w:id="30"/>
      <w:bookmarkStart w:id="31" w:name="_DV_M175"/>
      <w:bookmarkEnd w:id="31"/>
      <w:r>
        <w:rPr>
          <w:rFonts w:ascii="Times New Roman" w:hAnsi="宋体"/>
          <w:kern w:val="0"/>
          <w:sz w:val="24"/>
          <w:szCs w:val="24"/>
        </w:rPr>
        <w:t>任何股权转让或其他导致代表</w:t>
      </w:r>
      <w:r>
        <w:rPr>
          <w:rFonts w:ascii="Times New Roman" w:hAnsi="宋体"/>
          <w:b/>
          <w:kern w:val="0"/>
          <w:sz w:val="24"/>
          <w:szCs w:val="24"/>
        </w:rPr>
        <w:t>公司</w:t>
      </w:r>
      <w:r>
        <w:rPr>
          <w:rFonts w:ascii="Times New Roman" w:hAnsi="宋体"/>
          <w:kern w:val="0"/>
          <w:sz w:val="24"/>
          <w:szCs w:val="24"/>
        </w:rPr>
        <w:t>股东会中50%(含)以上投票权发生变更的任何事项</w:t>
      </w:r>
      <w:bookmarkStart w:id="32" w:name="_DV_M178"/>
      <w:bookmarkEnd w:id="32"/>
      <w:r>
        <w:rPr>
          <w:rFonts w:hint="eastAsia" w:ascii="Times New Roman" w:hAnsi="宋体"/>
          <w:kern w:val="0"/>
          <w:sz w:val="24"/>
          <w:szCs w:val="24"/>
        </w:rPr>
        <w:t>，</w:t>
      </w:r>
      <w:r>
        <w:rPr>
          <w:rFonts w:ascii="Times New Roman" w:hAnsi="宋体"/>
          <w:kern w:val="0"/>
          <w:sz w:val="24"/>
          <w:szCs w:val="24"/>
        </w:rPr>
        <w:t>出售</w:t>
      </w:r>
      <w:r>
        <w:rPr>
          <w:rFonts w:ascii="Times New Roman" w:hAnsi="宋体"/>
          <w:b/>
          <w:kern w:val="0"/>
          <w:sz w:val="24"/>
          <w:szCs w:val="24"/>
        </w:rPr>
        <w:t>公司</w:t>
      </w:r>
      <w:r>
        <w:rPr>
          <w:rFonts w:ascii="Times New Roman" w:hAnsi="宋体"/>
          <w:kern w:val="0"/>
          <w:sz w:val="24"/>
          <w:szCs w:val="24"/>
        </w:rPr>
        <w:t>全部或绝大部分资产；</w:t>
      </w:r>
    </w:p>
    <w:p>
      <w:pPr>
        <w:pStyle w:val="20"/>
        <w:numPr>
          <w:ilvl w:val="0"/>
          <w:numId w:val="19"/>
        </w:numPr>
        <w:tabs>
          <w:tab w:val="left" w:pos="993"/>
        </w:tabs>
        <w:spacing w:after="156" w:afterLines="50" w:line="440" w:lineRule="exact"/>
        <w:ind w:left="993" w:hanging="567" w:firstLineChars="0"/>
        <w:rPr>
          <w:rFonts w:ascii="Times New Roman" w:hAnsi="Times New Roman"/>
          <w:sz w:val="24"/>
          <w:szCs w:val="24"/>
        </w:rPr>
      </w:pPr>
      <w:r>
        <w:rPr>
          <w:rFonts w:hint="eastAsia" w:hAnsi="宋体"/>
          <w:sz w:val="24"/>
          <w:szCs w:val="24"/>
          <w:lang w:val="zh-CN"/>
        </w:rPr>
        <w:t>与</w:t>
      </w:r>
      <w:r>
        <w:rPr>
          <w:rFonts w:hint="eastAsia" w:hAnsi="宋体"/>
          <w:b/>
          <w:sz w:val="24"/>
          <w:szCs w:val="24"/>
          <w:lang w:val="zh-CN"/>
        </w:rPr>
        <w:t>公司</w:t>
      </w:r>
      <w:r>
        <w:rPr>
          <w:rFonts w:hint="eastAsia" w:hAnsi="宋体"/>
          <w:sz w:val="24"/>
          <w:szCs w:val="24"/>
          <w:lang w:val="zh-CN"/>
        </w:rPr>
        <w:t>的</w:t>
      </w:r>
      <w:r>
        <w:rPr>
          <w:rFonts w:hint="eastAsia" w:ascii="Times New Roman" w:hAnsi="宋体"/>
          <w:sz w:val="24"/>
          <w:szCs w:val="24"/>
        </w:rPr>
        <w:t>关联</w:t>
      </w:r>
      <w:r>
        <w:rPr>
          <w:rFonts w:hint="eastAsia" w:hAnsi="宋体"/>
          <w:sz w:val="24"/>
          <w:szCs w:val="24"/>
          <w:lang w:val="zh-CN"/>
        </w:rPr>
        <w:t>企业、股东、董事、经理或任何其他关联方约定或达成关联交易和协议；</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ascii="Times New Roman" w:hAnsi="宋体"/>
          <w:kern w:val="0"/>
          <w:sz w:val="24"/>
          <w:szCs w:val="24"/>
        </w:rPr>
        <w:t>聘任或解聘</w:t>
      </w:r>
      <w:r>
        <w:rPr>
          <w:rFonts w:hint="eastAsia" w:ascii="Times New Roman" w:hAnsi="宋体"/>
          <w:sz w:val="24"/>
          <w:szCs w:val="24"/>
        </w:rPr>
        <w:t>公司</w:t>
      </w:r>
      <w:r>
        <w:rPr>
          <w:rFonts w:ascii="Times New Roman" w:hAnsi="宋体"/>
          <w:kern w:val="0"/>
          <w:sz w:val="24"/>
          <w:szCs w:val="24"/>
        </w:rPr>
        <w:t>财务负责人</w:t>
      </w:r>
      <w:r>
        <w:rPr>
          <w:rFonts w:hint="eastAsia" w:ascii="Times New Roman" w:hAnsi="宋体"/>
          <w:kern w:val="0"/>
          <w:sz w:val="24"/>
          <w:szCs w:val="24"/>
        </w:rPr>
        <w:t>，</w:t>
      </w:r>
      <w:r>
        <w:rPr>
          <w:rFonts w:ascii="Times New Roman" w:hAnsi="宋体"/>
          <w:kern w:val="0"/>
          <w:sz w:val="24"/>
          <w:szCs w:val="24"/>
        </w:rPr>
        <w:t>聘请或更换</w:t>
      </w:r>
      <w:r>
        <w:rPr>
          <w:rFonts w:ascii="Times New Roman" w:hAnsi="宋体"/>
          <w:sz w:val="24"/>
          <w:szCs w:val="24"/>
        </w:rPr>
        <w:t>进行</w:t>
      </w:r>
      <w:r>
        <w:rPr>
          <w:rFonts w:ascii="Times New Roman" w:hAnsi="宋体"/>
          <w:kern w:val="0"/>
          <w:sz w:val="24"/>
          <w:szCs w:val="24"/>
        </w:rPr>
        <w:t>年度审计的会计师事务所；</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hint="eastAsia" w:ascii="Times New Roman" w:hAnsi="宋体"/>
          <w:kern w:val="0"/>
          <w:sz w:val="24"/>
          <w:szCs w:val="24"/>
        </w:rPr>
        <w:t>在任何一个会计年度内，</w:t>
      </w:r>
      <w:r>
        <w:rPr>
          <w:rFonts w:ascii="Times New Roman" w:hAnsi="宋体"/>
          <w:kern w:val="0"/>
          <w:sz w:val="24"/>
          <w:szCs w:val="24"/>
        </w:rPr>
        <w:t>在</w:t>
      </w:r>
      <w:r>
        <w:rPr>
          <w:rFonts w:ascii="Times New Roman" w:hAnsi="宋体"/>
          <w:b/>
          <w:kern w:val="0"/>
          <w:sz w:val="24"/>
          <w:szCs w:val="24"/>
        </w:rPr>
        <w:t>公司</w:t>
      </w:r>
      <w:r>
        <w:rPr>
          <w:rFonts w:ascii="Times New Roman" w:hAnsi="宋体"/>
          <w:kern w:val="0"/>
          <w:sz w:val="24"/>
          <w:szCs w:val="24"/>
        </w:rPr>
        <w:t>正常</w:t>
      </w:r>
      <w:r>
        <w:rPr>
          <w:rFonts w:ascii="Times New Roman" w:hAnsi="宋体"/>
          <w:sz w:val="24"/>
          <w:szCs w:val="24"/>
        </w:rPr>
        <w:t>业务</w:t>
      </w:r>
      <w:r>
        <w:rPr>
          <w:rFonts w:ascii="Times New Roman" w:hAnsi="宋体"/>
          <w:kern w:val="0"/>
          <w:sz w:val="24"/>
          <w:szCs w:val="24"/>
        </w:rPr>
        <w:t>经营</w:t>
      </w:r>
      <w:r>
        <w:rPr>
          <w:rFonts w:hint="eastAsia" w:ascii="Times New Roman" w:hAnsi="宋体"/>
          <w:kern w:val="0"/>
          <w:sz w:val="24"/>
          <w:szCs w:val="24"/>
        </w:rPr>
        <w:t>以外</w:t>
      </w:r>
      <w:r>
        <w:rPr>
          <w:rFonts w:ascii="Times New Roman" w:hAnsi="宋体"/>
          <w:kern w:val="0"/>
          <w:sz w:val="24"/>
          <w:szCs w:val="24"/>
        </w:rPr>
        <w:t>发生的借贷、对外借款或以其他方式导致</w:t>
      </w:r>
      <w:r>
        <w:rPr>
          <w:rFonts w:ascii="Times New Roman" w:hAnsi="宋体"/>
          <w:b/>
          <w:kern w:val="0"/>
          <w:sz w:val="24"/>
          <w:szCs w:val="24"/>
        </w:rPr>
        <w:t>公司</w:t>
      </w:r>
      <w:r>
        <w:rPr>
          <w:rFonts w:ascii="Times New Roman" w:hAnsi="宋体"/>
          <w:kern w:val="0"/>
          <w:sz w:val="24"/>
          <w:szCs w:val="24"/>
        </w:rPr>
        <w:t>负有债务超过人民币</w:t>
      </w:r>
      <w:r>
        <w:rPr>
          <w:rFonts w:hint="eastAsia" w:ascii="Times New Roman" w:hAnsi="宋体"/>
          <w:kern w:val="0"/>
          <w:sz w:val="24"/>
          <w:szCs w:val="24"/>
        </w:rPr>
        <w:t>[3</w:t>
      </w:r>
      <w:r>
        <w:rPr>
          <w:rFonts w:ascii="Times New Roman" w:hAnsi="宋体"/>
          <w:kern w:val="0"/>
          <w:sz w:val="24"/>
          <w:szCs w:val="24"/>
        </w:rPr>
        <w:t>0</w:t>
      </w:r>
      <w:r>
        <w:rPr>
          <w:rFonts w:hint="eastAsia" w:ascii="Times New Roman" w:hAnsi="宋体"/>
          <w:kern w:val="0"/>
          <w:sz w:val="24"/>
          <w:szCs w:val="24"/>
        </w:rPr>
        <w:t>]</w:t>
      </w:r>
      <w:r>
        <w:rPr>
          <w:rFonts w:ascii="Times New Roman" w:hAnsi="宋体"/>
          <w:kern w:val="0"/>
          <w:sz w:val="24"/>
          <w:szCs w:val="24"/>
        </w:rPr>
        <w:t>万元；</w:t>
      </w:r>
    </w:p>
    <w:p>
      <w:pPr>
        <w:pStyle w:val="20"/>
        <w:numPr>
          <w:ilvl w:val="0"/>
          <w:numId w:val="19"/>
        </w:numPr>
        <w:tabs>
          <w:tab w:val="left" w:pos="993"/>
        </w:tabs>
        <w:spacing w:after="156" w:afterLines="50" w:line="440" w:lineRule="exact"/>
        <w:ind w:left="993" w:hanging="567" w:firstLineChars="0"/>
        <w:rPr>
          <w:rFonts w:ascii="Times New Roman" w:hAnsi="宋体"/>
          <w:kern w:val="0"/>
          <w:sz w:val="24"/>
          <w:szCs w:val="24"/>
        </w:rPr>
      </w:pPr>
      <w:r>
        <w:rPr>
          <w:rFonts w:ascii="Times New Roman" w:hAnsi="宋体"/>
          <w:b/>
          <w:kern w:val="0"/>
          <w:sz w:val="24"/>
          <w:szCs w:val="24"/>
        </w:rPr>
        <w:t>公司</w:t>
      </w:r>
      <w:r>
        <w:rPr>
          <w:rFonts w:ascii="Times New Roman" w:hAnsi="宋体"/>
          <w:kern w:val="0"/>
          <w:sz w:val="24"/>
          <w:szCs w:val="24"/>
        </w:rPr>
        <w:t>对外</w:t>
      </w:r>
      <w:r>
        <w:rPr>
          <w:rFonts w:ascii="Times New Roman" w:hAnsi="宋体"/>
          <w:sz w:val="24"/>
          <w:szCs w:val="24"/>
        </w:rPr>
        <w:t>提供</w:t>
      </w:r>
      <w:r>
        <w:rPr>
          <w:rFonts w:ascii="Times New Roman" w:hAnsi="宋体"/>
          <w:kern w:val="0"/>
          <w:sz w:val="24"/>
          <w:szCs w:val="24"/>
        </w:rPr>
        <w:t>担保，或在</w:t>
      </w:r>
      <w:r>
        <w:rPr>
          <w:rFonts w:ascii="Times New Roman" w:hAnsi="宋体"/>
          <w:b/>
          <w:kern w:val="0"/>
          <w:sz w:val="24"/>
          <w:szCs w:val="24"/>
        </w:rPr>
        <w:t>公司</w:t>
      </w:r>
      <w:r>
        <w:rPr>
          <w:rFonts w:ascii="Times New Roman" w:hAnsi="宋体"/>
          <w:kern w:val="0"/>
          <w:sz w:val="24"/>
          <w:szCs w:val="24"/>
        </w:rPr>
        <w:t>任何资产上设定质押、抵押、保证、留置权或其他任何担保</w:t>
      </w:r>
      <w:r>
        <w:rPr>
          <w:rFonts w:hint="eastAsia" w:ascii="Times New Roman" w:hAnsi="宋体"/>
          <w:kern w:val="0"/>
          <w:sz w:val="24"/>
          <w:szCs w:val="24"/>
        </w:rPr>
        <w:t>。</w:t>
      </w:r>
    </w:p>
    <w:p>
      <w:pPr>
        <w:pStyle w:val="2"/>
        <w:numPr>
          <w:ilvl w:val="0"/>
          <w:numId w:val="6"/>
        </w:numPr>
        <w:jc w:val="center"/>
        <w:rPr>
          <w:rFonts w:ascii="Times New Roman" w:hAnsi="宋体"/>
          <w:sz w:val="24"/>
          <w:szCs w:val="24"/>
        </w:rPr>
      </w:pPr>
      <w:bookmarkStart w:id="33" w:name="_Toc405278785"/>
      <w:r>
        <w:rPr>
          <w:rFonts w:ascii="Times New Roman" w:hAnsi="宋体"/>
          <w:sz w:val="24"/>
          <w:szCs w:val="24"/>
        </w:rPr>
        <w:t>其他</w:t>
      </w:r>
      <w:bookmarkEnd w:id="33"/>
    </w:p>
    <w:p>
      <w:pPr>
        <w:pStyle w:val="3"/>
        <w:numPr>
          <w:ilvl w:val="1"/>
          <w:numId w:val="7"/>
        </w:numPr>
        <w:rPr>
          <w:rFonts w:ascii="宋体" w:hAnsi="宋体" w:eastAsia="宋体"/>
          <w:b/>
        </w:rPr>
      </w:pPr>
      <w:bookmarkStart w:id="34" w:name="_Toc405278786"/>
      <w:r>
        <w:rPr>
          <w:rFonts w:ascii="宋体" w:hAnsi="宋体" w:eastAsia="宋体"/>
          <w:b/>
        </w:rPr>
        <w:t>违约责任</w:t>
      </w:r>
      <w:bookmarkEnd w:id="34"/>
    </w:p>
    <w:p>
      <w:pPr>
        <w:rPr>
          <w:rFonts w:ascii="Times New Roman" w:hAnsi="Times New Roman"/>
          <w:sz w:val="24"/>
          <w:szCs w:val="24"/>
        </w:rPr>
      </w:pPr>
    </w:p>
    <w:p>
      <w:pPr>
        <w:pStyle w:val="20"/>
        <w:numPr>
          <w:ilvl w:val="1"/>
          <w:numId w:val="20"/>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若</w:t>
      </w:r>
      <w:r>
        <w:rPr>
          <w:rFonts w:ascii="Times New Roman" w:hAnsi="宋体"/>
          <w:b/>
          <w:sz w:val="24"/>
          <w:szCs w:val="24"/>
        </w:rPr>
        <w:t>本协议</w:t>
      </w:r>
      <w:r>
        <w:rPr>
          <w:rFonts w:ascii="Times New Roman" w:hAnsi="宋体"/>
          <w:sz w:val="24"/>
          <w:szCs w:val="24"/>
        </w:rPr>
        <w:t>的任何一方违反或未能及时履行其</w:t>
      </w:r>
      <w:r>
        <w:rPr>
          <w:rFonts w:ascii="Times New Roman" w:hAnsi="宋体"/>
          <w:b/>
          <w:sz w:val="24"/>
          <w:szCs w:val="24"/>
        </w:rPr>
        <w:t>本协议</w:t>
      </w:r>
      <w:r>
        <w:rPr>
          <w:rFonts w:ascii="Times New Roman" w:hAnsi="宋体"/>
          <w:sz w:val="24"/>
          <w:szCs w:val="24"/>
        </w:rPr>
        <w:t>项下的任何义务、陈述与保证，均构成违约。</w:t>
      </w:r>
    </w:p>
    <w:p>
      <w:pPr>
        <w:rPr>
          <w:rFonts w:ascii="Times New Roman" w:hAnsi="Times New Roman"/>
          <w:sz w:val="24"/>
          <w:szCs w:val="24"/>
        </w:rPr>
      </w:pPr>
    </w:p>
    <w:p>
      <w:pPr>
        <w:pStyle w:val="20"/>
        <w:numPr>
          <w:ilvl w:val="1"/>
          <w:numId w:val="20"/>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任何一方违反</w:t>
      </w:r>
      <w:r>
        <w:rPr>
          <w:rFonts w:ascii="Times New Roman" w:hAnsi="宋体"/>
          <w:b/>
          <w:sz w:val="24"/>
          <w:szCs w:val="24"/>
        </w:rPr>
        <w:t>本协议</w:t>
      </w:r>
      <w:r>
        <w:rPr>
          <w:rFonts w:ascii="Times New Roman" w:hAnsi="宋体"/>
          <w:sz w:val="24"/>
          <w:szCs w:val="24"/>
        </w:rPr>
        <w:t>的约定，而给其他方造成损失的，应就其损失向守约方承担赔偿责任。赔偿责任范围包括守约方的直接损失、间接损失以及因主张权利而发生的费用。</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35" w:name="_Toc405278787"/>
      <w:bookmarkStart w:id="36" w:name="_Toc279191597"/>
      <w:r>
        <w:rPr>
          <w:rFonts w:ascii="宋体" w:hAnsi="宋体" w:eastAsia="宋体"/>
          <w:b/>
        </w:rPr>
        <w:t>保密条款</w:t>
      </w:r>
      <w:bookmarkEnd w:id="35"/>
      <w:bookmarkEnd w:id="36"/>
    </w:p>
    <w:p>
      <w:pPr>
        <w:rPr>
          <w:rFonts w:ascii="Times New Roman" w:hAnsi="Times New Roman"/>
          <w:sz w:val="24"/>
          <w:szCs w:val="24"/>
        </w:rPr>
      </w:pPr>
    </w:p>
    <w:p>
      <w:pPr>
        <w:spacing w:line="440" w:lineRule="exact"/>
        <w:ind w:left="454"/>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各方均应就</w:t>
      </w:r>
      <w:r>
        <w:rPr>
          <w:rFonts w:ascii="Times New Roman" w:hAnsi="宋体"/>
          <w:b/>
          <w:sz w:val="24"/>
          <w:szCs w:val="24"/>
        </w:rPr>
        <w:t>本协议</w:t>
      </w:r>
      <w:r>
        <w:rPr>
          <w:rFonts w:ascii="Times New Roman" w:hAnsi="宋体"/>
          <w:sz w:val="24"/>
          <w:szCs w:val="24"/>
        </w:rPr>
        <w:t>的签订和履行而知悉的</w:t>
      </w:r>
      <w:r>
        <w:rPr>
          <w:rFonts w:ascii="Times New Roman" w:hAnsi="宋体"/>
          <w:b/>
          <w:sz w:val="24"/>
          <w:szCs w:val="24"/>
        </w:rPr>
        <w:t>公司</w:t>
      </w:r>
      <w:r>
        <w:rPr>
          <w:rFonts w:ascii="Times New Roman" w:hAnsi="宋体"/>
          <w:sz w:val="24"/>
          <w:szCs w:val="24"/>
        </w:rPr>
        <w:t>及其他方的保密信息，向相关方承担保密义务。在没有得到</w:t>
      </w:r>
      <w:r>
        <w:rPr>
          <w:rFonts w:ascii="Times New Roman" w:hAnsi="宋体"/>
          <w:b/>
          <w:sz w:val="24"/>
          <w:szCs w:val="24"/>
        </w:rPr>
        <w:t>本协议</w:t>
      </w:r>
      <w:r>
        <w:rPr>
          <w:rFonts w:ascii="Times New Roman" w:hAnsi="宋体"/>
          <w:sz w:val="24"/>
          <w:szCs w:val="24"/>
        </w:rPr>
        <w:t>相关方的书面同意之前，各方不得向任何第三人披露前述保密信息，并不得将其用于本次增资以外的目的。本条款的规定在</w:t>
      </w:r>
      <w:r>
        <w:rPr>
          <w:rFonts w:ascii="Times New Roman" w:hAnsi="宋体"/>
          <w:b/>
          <w:sz w:val="24"/>
          <w:szCs w:val="24"/>
        </w:rPr>
        <w:t>本协议</w:t>
      </w:r>
      <w:r>
        <w:rPr>
          <w:rFonts w:ascii="Times New Roman" w:hAnsi="宋体"/>
          <w:sz w:val="24"/>
          <w:szCs w:val="24"/>
        </w:rPr>
        <w:t>终止或解除后继续有效。</w:t>
      </w:r>
    </w:p>
    <w:p>
      <w:pPr>
        <w:spacing w:line="440" w:lineRule="exact"/>
        <w:ind w:left="454"/>
        <w:jc w:val="left"/>
        <w:rPr>
          <w:rFonts w:ascii="Times New Roman" w:hAnsi="Times New Roman"/>
          <w:sz w:val="24"/>
          <w:szCs w:val="24"/>
        </w:rPr>
      </w:pPr>
    </w:p>
    <w:p>
      <w:pPr>
        <w:spacing w:line="440" w:lineRule="exact"/>
        <w:ind w:left="454"/>
        <w:jc w:val="left"/>
        <w:rPr>
          <w:rFonts w:ascii="Times New Roman" w:hAnsi="Times New Roman"/>
          <w:sz w:val="24"/>
          <w:szCs w:val="24"/>
        </w:rPr>
      </w:pPr>
      <w:r>
        <w:rPr>
          <w:rFonts w:ascii="Times New Roman" w:hAnsi="宋体"/>
          <w:sz w:val="24"/>
          <w:szCs w:val="24"/>
        </w:rPr>
        <w:t>虽有上述规定，在合理期限内提前通知相关方后，各方有权将</w:t>
      </w:r>
      <w:r>
        <w:rPr>
          <w:rFonts w:ascii="Times New Roman" w:hAnsi="宋体"/>
          <w:b/>
          <w:sz w:val="24"/>
          <w:szCs w:val="24"/>
        </w:rPr>
        <w:t>本协议</w:t>
      </w:r>
      <w:r>
        <w:rPr>
          <w:rFonts w:ascii="Times New Roman" w:hAnsi="宋体"/>
          <w:sz w:val="24"/>
          <w:szCs w:val="24"/>
        </w:rPr>
        <w:t>相关的保密信息：</w:t>
      </w:r>
    </w:p>
    <w:p>
      <w:pPr>
        <w:rPr>
          <w:rFonts w:ascii="Times New Roman" w:hAnsi="Times New Roman"/>
          <w:sz w:val="24"/>
          <w:szCs w:val="24"/>
        </w:rPr>
      </w:pPr>
    </w:p>
    <w:p>
      <w:pPr>
        <w:pStyle w:val="20"/>
        <w:numPr>
          <w:ilvl w:val="0"/>
          <w:numId w:val="21"/>
        </w:numPr>
        <w:tabs>
          <w:tab w:val="left" w:pos="1134"/>
        </w:tabs>
        <w:spacing w:after="156" w:afterLines="50" w:line="440" w:lineRule="exact"/>
        <w:ind w:left="1134" w:hanging="708" w:firstLineChars="0"/>
        <w:rPr>
          <w:rFonts w:ascii="Times New Roman" w:hAnsi="Times New Roman"/>
          <w:sz w:val="24"/>
          <w:szCs w:val="24"/>
        </w:rPr>
      </w:pPr>
      <w:r>
        <w:rPr>
          <w:rFonts w:ascii="Times New Roman" w:hAnsi="宋体"/>
          <w:sz w:val="24"/>
          <w:szCs w:val="24"/>
        </w:rPr>
        <w:t>依照法律或业务程序要求，披露给政府机关或往来银行；及</w:t>
      </w:r>
    </w:p>
    <w:p>
      <w:pPr>
        <w:pStyle w:val="20"/>
        <w:numPr>
          <w:ilvl w:val="0"/>
          <w:numId w:val="21"/>
        </w:numPr>
        <w:tabs>
          <w:tab w:val="left" w:pos="1134"/>
        </w:tabs>
        <w:spacing w:after="156" w:afterLines="50" w:line="440" w:lineRule="exact"/>
        <w:ind w:left="1134" w:hanging="708" w:firstLineChars="0"/>
        <w:rPr>
          <w:rFonts w:ascii="Times New Roman" w:hAnsi="Times New Roman"/>
          <w:sz w:val="24"/>
          <w:szCs w:val="24"/>
        </w:rPr>
      </w:pPr>
      <w:r>
        <w:rPr>
          <w:rFonts w:ascii="Times New Roman" w:hAnsi="宋体"/>
          <w:sz w:val="24"/>
          <w:szCs w:val="24"/>
        </w:rPr>
        <w:t>在相对方承担与</w:t>
      </w:r>
      <w:r>
        <w:rPr>
          <w:rFonts w:ascii="Times New Roman" w:hAnsi="宋体"/>
          <w:b/>
          <w:sz w:val="24"/>
          <w:szCs w:val="24"/>
        </w:rPr>
        <w:t>本协议</w:t>
      </w:r>
      <w:r>
        <w:rPr>
          <w:rFonts w:ascii="Times New Roman" w:hAnsi="宋体"/>
          <w:sz w:val="24"/>
          <w:szCs w:val="24"/>
        </w:rPr>
        <w:t>各方同等的保密义务的前提下，披露给员工、律师、会计师及其他顾问。</w:t>
      </w:r>
    </w:p>
    <w:p>
      <w:pPr>
        <w:spacing w:line="440" w:lineRule="exact"/>
        <w:jc w:val="left"/>
        <w:rPr>
          <w:rFonts w:ascii="Times New Roman" w:hAnsi="Times New Roman"/>
          <w:sz w:val="24"/>
          <w:szCs w:val="24"/>
        </w:rPr>
      </w:pPr>
    </w:p>
    <w:p>
      <w:pPr>
        <w:pStyle w:val="3"/>
        <w:numPr>
          <w:ilvl w:val="1"/>
          <w:numId w:val="7"/>
        </w:numPr>
        <w:rPr>
          <w:rFonts w:ascii="宋体" w:hAnsi="宋体" w:eastAsia="宋体"/>
          <w:b/>
        </w:rPr>
      </w:pPr>
      <w:bookmarkStart w:id="37" w:name="_Toc405278788"/>
      <w:r>
        <w:rPr>
          <w:rFonts w:ascii="宋体" w:hAnsi="宋体" w:eastAsia="宋体"/>
          <w:b/>
        </w:rPr>
        <w:t>变更或解除</w:t>
      </w:r>
      <w:bookmarkEnd w:id="37"/>
    </w:p>
    <w:p>
      <w:pPr>
        <w:rPr>
          <w:rFonts w:ascii="Times New Roman" w:hAnsi="Times New Roman"/>
          <w:sz w:val="24"/>
          <w:szCs w:val="24"/>
        </w:rPr>
      </w:pPr>
    </w:p>
    <w:p>
      <w:pPr>
        <w:pStyle w:val="20"/>
        <w:numPr>
          <w:ilvl w:val="1"/>
          <w:numId w:val="22"/>
        </w:numPr>
        <w:tabs>
          <w:tab w:val="left" w:pos="993"/>
        </w:tabs>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经各方协商一致，可以变更或解除。</w:t>
      </w:r>
    </w:p>
    <w:p>
      <w:pPr>
        <w:rPr>
          <w:rFonts w:ascii="Times New Roman" w:hAnsi="Times New Roman"/>
          <w:sz w:val="24"/>
          <w:szCs w:val="24"/>
        </w:rPr>
      </w:pPr>
    </w:p>
    <w:p>
      <w:pPr>
        <w:pStyle w:val="20"/>
        <w:numPr>
          <w:ilvl w:val="1"/>
          <w:numId w:val="22"/>
        </w:numPr>
        <w:tabs>
          <w:tab w:val="left" w:pos="993"/>
        </w:tabs>
        <w:spacing w:line="440" w:lineRule="exact"/>
        <w:ind w:left="993" w:hanging="539" w:firstLineChars="0"/>
        <w:rPr>
          <w:rFonts w:ascii="Times New Roman" w:hAnsi="Times New Roman"/>
          <w:sz w:val="24"/>
          <w:szCs w:val="24"/>
        </w:rPr>
      </w:pPr>
      <w:r>
        <w:rPr>
          <w:rFonts w:ascii="Times New Roman" w:hAnsi="宋体"/>
          <w:sz w:val="24"/>
          <w:szCs w:val="24"/>
        </w:rPr>
        <w:t>如任何一方严重违反</w:t>
      </w:r>
      <w:r>
        <w:rPr>
          <w:rFonts w:ascii="Times New Roman" w:hAnsi="宋体"/>
          <w:b/>
          <w:sz w:val="24"/>
          <w:szCs w:val="24"/>
        </w:rPr>
        <w:t>本协议</w:t>
      </w:r>
      <w:r>
        <w:rPr>
          <w:rFonts w:ascii="Times New Roman" w:hAnsi="宋体"/>
          <w:sz w:val="24"/>
          <w:szCs w:val="24"/>
        </w:rPr>
        <w:t>的约定，导致协议目的无法实现的，相关方可以书面通知的方式，单方面解除</w:t>
      </w:r>
      <w:r>
        <w:rPr>
          <w:rFonts w:ascii="Times New Roman" w:hAnsi="宋体"/>
          <w:b/>
          <w:sz w:val="24"/>
          <w:szCs w:val="24"/>
        </w:rPr>
        <w:t>本协议</w:t>
      </w:r>
      <w:r>
        <w:rPr>
          <w:rFonts w:ascii="Times New Roman" w:hAnsi="宋体"/>
          <w:sz w:val="24"/>
          <w:szCs w:val="24"/>
        </w:rPr>
        <w:t>。</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38" w:name="_Toc279191604"/>
      <w:bookmarkStart w:id="39" w:name="_Toc405278789"/>
      <w:r>
        <w:rPr>
          <w:rFonts w:ascii="宋体" w:hAnsi="宋体" w:eastAsia="宋体"/>
          <w:b/>
        </w:rPr>
        <w:t>适用法律</w:t>
      </w:r>
      <w:bookmarkEnd w:id="38"/>
      <w:r>
        <w:rPr>
          <w:rFonts w:ascii="宋体" w:hAnsi="宋体" w:eastAsia="宋体"/>
          <w:b/>
        </w:rPr>
        <w:t>及争议解决</w:t>
      </w:r>
      <w:bookmarkEnd w:id="39"/>
    </w:p>
    <w:p>
      <w:pPr>
        <w:rPr>
          <w:rFonts w:ascii="Times New Roman" w:hAnsi="Times New Roman"/>
          <w:sz w:val="24"/>
          <w:szCs w:val="24"/>
        </w:rPr>
      </w:pPr>
    </w:p>
    <w:p>
      <w:pPr>
        <w:pStyle w:val="20"/>
        <w:numPr>
          <w:ilvl w:val="1"/>
          <w:numId w:val="23"/>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适用中华人民共和国法律，并根据中华人民共和国法律进行解释。</w:t>
      </w:r>
    </w:p>
    <w:p>
      <w:pPr>
        <w:rPr>
          <w:rFonts w:ascii="Times New Roman" w:hAnsi="Times New Roman"/>
          <w:sz w:val="24"/>
          <w:szCs w:val="24"/>
        </w:rPr>
      </w:pPr>
    </w:p>
    <w:p>
      <w:pPr>
        <w:pStyle w:val="20"/>
        <w:numPr>
          <w:ilvl w:val="1"/>
          <w:numId w:val="23"/>
        </w:numPr>
        <w:spacing w:line="440" w:lineRule="exact"/>
        <w:ind w:left="993" w:hanging="539" w:firstLineChars="0"/>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各方因</w:t>
      </w:r>
      <w:r>
        <w:rPr>
          <w:rFonts w:ascii="Times New Roman" w:hAnsi="宋体"/>
          <w:b/>
          <w:sz w:val="24"/>
          <w:szCs w:val="24"/>
        </w:rPr>
        <w:t>本协议</w:t>
      </w:r>
      <w:r>
        <w:rPr>
          <w:rFonts w:ascii="Times New Roman" w:hAnsi="宋体"/>
          <w:sz w:val="24"/>
          <w:szCs w:val="24"/>
        </w:rPr>
        <w:t>的签订或执行发生争议的，应通过友好协商解决；协商未能达成一致的，任何一方均可向有管辖权的人民法院提起诉讼。</w:t>
      </w:r>
    </w:p>
    <w:p>
      <w:pPr>
        <w:spacing w:line="440" w:lineRule="exact"/>
        <w:rPr>
          <w:rFonts w:ascii="Times New Roman" w:hAnsi="Times New Roman"/>
          <w:sz w:val="24"/>
          <w:szCs w:val="24"/>
        </w:rPr>
      </w:pPr>
    </w:p>
    <w:p>
      <w:pPr>
        <w:pStyle w:val="3"/>
        <w:numPr>
          <w:ilvl w:val="1"/>
          <w:numId w:val="7"/>
        </w:numPr>
        <w:rPr>
          <w:rFonts w:ascii="宋体" w:hAnsi="宋体" w:eastAsia="宋体"/>
          <w:b/>
        </w:rPr>
      </w:pPr>
      <w:bookmarkStart w:id="40" w:name="_Toc405278790"/>
      <w:r>
        <w:rPr>
          <w:rFonts w:ascii="宋体" w:hAnsi="宋体" w:eastAsia="宋体"/>
          <w:b/>
        </w:rPr>
        <w:t>附则</w:t>
      </w:r>
      <w:bookmarkEnd w:id="40"/>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自各方签署并经</w:t>
      </w:r>
      <w:r>
        <w:rPr>
          <w:rFonts w:ascii="Times New Roman" w:hAnsi="宋体"/>
          <w:b/>
          <w:sz w:val="24"/>
          <w:szCs w:val="24"/>
        </w:rPr>
        <w:t>公司</w:t>
      </w:r>
      <w:r>
        <w:rPr>
          <w:rFonts w:ascii="Times New Roman" w:hAnsi="宋体"/>
          <w:sz w:val="24"/>
          <w:szCs w:val="24"/>
        </w:rPr>
        <w:t>股东会批准即生效。</w:t>
      </w:r>
      <w:r>
        <w:rPr>
          <w:rFonts w:ascii="Times New Roman" w:hAnsi="宋体"/>
          <w:b/>
          <w:sz w:val="24"/>
          <w:szCs w:val="24"/>
        </w:rPr>
        <w:t>本协议</w:t>
      </w:r>
      <w:r>
        <w:rPr>
          <w:rFonts w:ascii="Times New Roman" w:hAnsi="宋体"/>
          <w:sz w:val="24"/>
          <w:szCs w:val="24"/>
        </w:rPr>
        <w:t>用于替代此前各方以口头或书面等形式就</w:t>
      </w:r>
      <w:r>
        <w:rPr>
          <w:rFonts w:ascii="Times New Roman" w:hAnsi="宋体"/>
          <w:b/>
          <w:sz w:val="24"/>
          <w:szCs w:val="24"/>
        </w:rPr>
        <w:t>本协议</w:t>
      </w:r>
      <w:r>
        <w:rPr>
          <w:rFonts w:ascii="Times New Roman" w:hAnsi="宋体"/>
          <w:sz w:val="24"/>
          <w:szCs w:val="24"/>
        </w:rPr>
        <w:t>所包含的事项达成的所有协议、约定或备忘。</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一式</w:t>
      </w:r>
      <w:r>
        <w:rPr>
          <w:rFonts w:ascii="Times New Roman" w:hAnsi="Times New Roman"/>
          <w:sz w:val="24"/>
          <w:szCs w:val="24"/>
        </w:rPr>
        <w:t>[</w:t>
      </w:r>
      <w:r>
        <w:rPr>
          <w:rFonts w:hint="eastAsia" w:ascii="Times New Roman" w:hAnsi="Times New Roman"/>
          <w:sz w:val="24"/>
          <w:szCs w:val="24"/>
        </w:rPr>
        <w:t>4</w:t>
      </w:r>
      <w:r>
        <w:rPr>
          <w:rFonts w:ascii="Times New Roman" w:hAnsi="Times New Roman"/>
          <w:sz w:val="24"/>
          <w:szCs w:val="24"/>
        </w:rPr>
        <w:t>]</w:t>
      </w:r>
      <w:r>
        <w:rPr>
          <w:rFonts w:ascii="Times New Roman" w:hAnsi="宋体"/>
          <w:sz w:val="24"/>
          <w:szCs w:val="24"/>
        </w:rPr>
        <w:t>份，各方各持</w:t>
      </w:r>
      <w:r>
        <w:rPr>
          <w:rFonts w:hint="eastAsia" w:ascii="Times New Roman" w:hAnsi="Times New Roman"/>
          <w:sz w:val="24"/>
          <w:szCs w:val="24"/>
        </w:rPr>
        <w:t>1</w:t>
      </w:r>
      <w:r>
        <w:rPr>
          <w:rFonts w:ascii="Times New Roman" w:hAnsi="宋体"/>
          <w:sz w:val="24"/>
          <w:szCs w:val="24"/>
        </w:rPr>
        <w:t>份，具有同等法律效力。</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的附件是</w:t>
      </w:r>
      <w:r>
        <w:rPr>
          <w:rFonts w:ascii="Times New Roman" w:hAnsi="宋体"/>
          <w:b/>
          <w:sz w:val="24"/>
          <w:szCs w:val="24"/>
        </w:rPr>
        <w:t>本协议</w:t>
      </w:r>
      <w:r>
        <w:rPr>
          <w:rFonts w:ascii="Times New Roman" w:hAnsi="宋体"/>
          <w:sz w:val="24"/>
          <w:szCs w:val="24"/>
        </w:rPr>
        <w:t>不可分割的组成部分，与</w:t>
      </w:r>
      <w:r>
        <w:rPr>
          <w:rFonts w:ascii="Times New Roman" w:hAnsi="宋体"/>
          <w:b/>
          <w:sz w:val="24"/>
          <w:szCs w:val="24"/>
        </w:rPr>
        <w:t>本协议</w:t>
      </w:r>
      <w:r>
        <w:rPr>
          <w:rFonts w:ascii="Times New Roman" w:hAnsi="宋体"/>
          <w:sz w:val="24"/>
          <w:szCs w:val="24"/>
        </w:rPr>
        <w:t>的其他条款具有同等法律效力。</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各方一致同意，</w:t>
      </w:r>
      <w:r>
        <w:rPr>
          <w:rFonts w:ascii="Times New Roman" w:hAnsi="宋体"/>
          <w:b/>
          <w:sz w:val="24"/>
          <w:szCs w:val="24"/>
        </w:rPr>
        <w:t>本协议</w:t>
      </w:r>
      <w:r>
        <w:rPr>
          <w:rFonts w:ascii="Times New Roman" w:hAnsi="宋体"/>
          <w:sz w:val="24"/>
          <w:szCs w:val="24"/>
        </w:rPr>
        <w:t>中的股东权利、公司治理部分及其他相关内容，与</w:t>
      </w:r>
      <w:r>
        <w:rPr>
          <w:rFonts w:ascii="Times New Roman" w:hAnsi="宋体"/>
          <w:b/>
          <w:sz w:val="24"/>
          <w:szCs w:val="24"/>
        </w:rPr>
        <w:t>公司</w:t>
      </w:r>
      <w:r>
        <w:rPr>
          <w:rFonts w:ascii="Times New Roman" w:hAnsi="宋体"/>
          <w:sz w:val="24"/>
          <w:szCs w:val="24"/>
        </w:rPr>
        <w:t>章程及其他</w:t>
      </w:r>
      <w:r>
        <w:rPr>
          <w:rFonts w:ascii="Times New Roman" w:hAnsi="宋体"/>
          <w:b/>
          <w:sz w:val="24"/>
          <w:szCs w:val="24"/>
        </w:rPr>
        <w:t>公司</w:t>
      </w:r>
      <w:r>
        <w:rPr>
          <w:rFonts w:ascii="Times New Roman" w:hAnsi="宋体"/>
          <w:sz w:val="24"/>
          <w:szCs w:val="24"/>
        </w:rPr>
        <w:t>组织性文件的规定具有同等法律效力。如</w:t>
      </w:r>
      <w:r>
        <w:rPr>
          <w:rFonts w:ascii="Times New Roman" w:hAnsi="宋体"/>
          <w:b/>
          <w:sz w:val="24"/>
          <w:szCs w:val="24"/>
        </w:rPr>
        <w:t>本协议</w:t>
      </w:r>
      <w:r>
        <w:rPr>
          <w:rFonts w:ascii="Times New Roman" w:hAnsi="宋体"/>
          <w:sz w:val="24"/>
          <w:szCs w:val="24"/>
        </w:rPr>
        <w:t>内容与</w:t>
      </w:r>
      <w:r>
        <w:rPr>
          <w:rFonts w:ascii="Times New Roman" w:hAnsi="宋体"/>
          <w:b/>
          <w:sz w:val="24"/>
          <w:szCs w:val="24"/>
        </w:rPr>
        <w:t>公司</w:t>
      </w:r>
      <w:r>
        <w:rPr>
          <w:rFonts w:ascii="Times New Roman" w:hAnsi="宋体"/>
          <w:sz w:val="24"/>
          <w:szCs w:val="24"/>
        </w:rPr>
        <w:t>章程或其他</w:t>
      </w:r>
      <w:r>
        <w:rPr>
          <w:rFonts w:ascii="Times New Roman" w:hAnsi="宋体"/>
          <w:b/>
          <w:sz w:val="24"/>
          <w:szCs w:val="24"/>
        </w:rPr>
        <w:t>公司</w:t>
      </w:r>
      <w:r>
        <w:rPr>
          <w:rFonts w:ascii="Times New Roman" w:hAnsi="宋体"/>
          <w:sz w:val="24"/>
          <w:szCs w:val="24"/>
        </w:rPr>
        <w:t>组织性文件相矛盾的，除该等文件明确约定具有高于</w:t>
      </w:r>
      <w:r>
        <w:rPr>
          <w:rFonts w:ascii="Times New Roman" w:hAnsi="宋体"/>
          <w:b/>
          <w:sz w:val="24"/>
          <w:szCs w:val="24"/>
        </w:rPr>
        <w:t>本协议</w:t>
      </w:r>
      <w:r>
        <w:rPr>
          <w:rFonts w:ascii="Times New Roman" w:hAnsi="宋体"/>
          <w:sz w:val="24"/>
          <w:szCs w:val="24"/>
        </w:rPr>
        <w:t>的效力外，均以</w:t>
      </w:r>
      <w:r>
        <w:rPr>
          <w:rFonts w:ascii="Times New Roman" w:hAnsi="宋体"/>
          <w:b/>
          <w:sz w:val="24"/>
          <w:szCs w:val="24"/>
        </w:rPr>
        <w:t>本协议</w:t>
      </w:r>
      <w:r>
        <w:rPr>
          <w:rFonts w:ascii="Times New Roman" w:hAnsi="宋体"/>
          <w:sz w:val="24"/>
          <w:szCs w:val="24"/>
        </w:rPr>
        <w:t>中的约定为准。任何一名或多名</w:t>
      </w:r>
      <w:r>
        <w:rPr>
          <w:rFonts w:ascii="Times New Roman" w:hAnsi="宋体"/>
          <w:b/>
          <w:sz w:val="24"/>
          <w:szCs w:val="24"/>
        </w:rPr>
        <w:t>公司</w:t>
      </w:r>
      <w:r>
        <w:rPr>
          <w:rFonts w:ascii="Times New Roman" w:hAnsi="宋体"/>
          <w:sz w:val="24"/>
          <w:szCs w:val="24"/>
        </w:rPr>
        <w:t>股东，均可随时提议将</w:t>
      </w:r>
      <w:r>
        <w:rPr>
          <w:rFonts w:ascii="Times New Roman" w:hAnsi="宋体"/>
          <w:b/>
          <w:sz w:val="24"/>
          <w:szCs w:val="24"/>
        </w:rPr>
        <w:t>本协议</w:t>
      </w:r>
      <w:r>
        <w:rPr>
          <w:rFonts w:ascii="Times New Roman" w:hAnsi="宋体"/>
          <w:sz w:val="24"/>
          <w:szCs w:val="24"/>
        </w:rPr>
        <w:t>的相关内容增加至</w:t>
      </w:r>
      <w:r>
        <w:rPr>
          <w:rFonts w:ascii="Times New Roman" w:hAnsi="宋体"/>
          <w:b/>
          <w:sz w:val="24"/>
          <w:szCs w:val="24"/>
        </w:rPr>
        <w:t>公司</w:t>
      </w:r>
      <w:r>
        <w:rPr>
          <w:rFonts w:ascii="Times New Roman" w:hAnsi="宋体"/>
          <w:sz w:val="24"/>
          <w:szCs w:val="24"/>
        </w:rPr>
        <w:t>章程（或变更</w:t>
      </w:r>
      <w:r>
        <w:rPr>
          <w:rFonts w:ascii="Times New Roman" w:hAnsi="宋体"/>
          <w:b/>
          <w:sz w:val="24"/>
          <w:szCs w:val="24"/>
        </w:rPr>
        <w:t>公司</w:t>
      </w:r>
      <w:r>
        <w:rPr>
          <w:rFonts w:ascii="Times New Roman" w:hAnsi="宋体"/>
          <w:sz w:val="24"/>
          <w:szCs w:val="24"/>
        </w:rPr>
        <w:t>章程），其他股东均应在相关股东会上对前述提议投赞成票。</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sz w:val="24"/>
          <w:szCs w:val="24"/>
        </w:rPr>
        <w:t>任何一方未行使、迟延行使任何</w:t>
      </w:r>
      <w:r>
        <w:rPr>
          <w:rFonts w:ascii="Times New Roman" w:hAnsi="宋体"/>
          <w:b/>
          <w:sz w:val="24"/>
          <w:szCs w:val="24"/>
        </w:rPr>
        <w:t>本协议</w:t>
      </w:r>
      <w:r>
        <w:rPr>
          <w:rFonts w:ascii="Times New Roman" w:hAnsi="宋体"/>
          <w:sz w:val="24"/>
          <w:szCs w:val="24"/>
        </w:rPr>
        <w:t>下的权利，不构成对该权利的放弃。任何一方对</w:t>
      </w:r>
      <w:r>
        <w:rPr>
          <w:rFonts w:ascii="Times New Roman" w:hAnsi="宋体"/>
          <w:b/>
          <w:sz w:val="24"/>
          <w:szCs w:val="24"/>
        </w:rPr>
        <w:t>本协议</w:t>
      </w:r>
      <w:r>
        <w:rPr>
          <w:rFonts w:ascii="Times New Roman" w:hAnsi="宋体"/>
          <w:sz w:val="24"/>
          <w:szCs w:val="24"/>
        </w:rPr>
        <w:t>任一条款的弃权不应被视为对</w:t>
      </w:r>
      <w:r>
        <w:rPr>
          <w:rFonts w:ascii="Times New Roman" w:hAnsi="宋体"/>
          <w:b/>
          <w:sz w:val="24"/>
          <w:szCs w:val="24"/>
        </w:rPr>
        <w:t>本协议</w:t>
      </w:r>
      <w:r>
        <w:rPr>
          <w:rFonts w:ascii="Times New Roman" w:hAnsi="宋体"/>
          <w:sz w:val="24"/>
          <w:szCs w:val="24"/>
        </w:rPr>
        <w:t>其他条款的放弃。</w:t>
      </w:r>
    </w:p>
    <w:p>
      <w:pPr>
        <w:rPr>
          <w:rFonts w:ascii="Times New Roman" w:hAnsi="Times New Roman"/>
          <w:sz w:val="24"/>
          <w:szCs w:val="24"/>
        </w:rPr>
      </w:pPr>
    </w:p>
    <w:p>
      <w:pPr>
        <w:pStyle w:val="20"/>
        <w:numPr>
          <w:ilvl w:val="1"/>
          <w:numId w:val="24"/>
        </w:numPr>
        <w:spacing w:line="440" w:lineRule="exact"/>
        <w:ind w:left="993" w:hanging="539" w:firstLineChars="0"/>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的任何条款因任何原因被判定为无效或不可执行，并不影响</w:t>
      </w:r>
      <w:r>
        <w:rPr>
          <w:rFonts w:ascii="Times New Roman" w:hAnsi="宋体"/>
          <w:b/>
          <w:sz w:val="24"/>
          <w:szCs w:val="24"/>
        </w:rPr>
        <w:t>本协议</w:t>
      </w:r>
      <w:r>
        <w:rPr>
          <w:rFonts w:ascii="Times New Roman" w:hAnsi="宋体"/>
          <w:sz w:val="24"/>
          <w:szCs w:val="24"/>
        </w:rPr>
        <w:t>中其他条款的效力；且该条款应在不违反</w:t>
      </w:r>
      <w:r>
        <w:rPr>
          <w:rFonts w:ascii="Times New Roman" w:hAnsi="宋体"/>
          <w:b/>
          <w:sz w:val="24"/>
          <w:szCs w:val="24"/>
        </w:rPr>
        <w:t>本协议</w:t>
      </w:r>
      <w:r>
        <w:rPr>
          <w:rFonts w:ascii="Times New Roman" w:hAnsi="宋体"/>
          <w:sz w:val="24"/>
          <w:szCs w:val="24"/>
        </w:rPr>
        <w:t>目的的基础上进行可能、必要的修改后，继续适用。</w:t>
      </w:r>
    </w:p>
    <w:p>
      <w:pPr>
        <w:pStyle w:val="20"/>
        <w:spacing w:before="312" w:beforeLines="100" w:after="468" w:afterLines="150" w:line="400" w:lineRule="atLeast"/>
        <w:ind w:left="357" w:firstLine="0" w:firstLineChars="0"/>
        <w:jc w:val="center"/>
        <w:rPr>
          <w:rFonts w:ascii="Times New Roman" w:hAnsi="Times New Roman"/>
          <w:b/>
          <w:sz w:val="24"/>
          <w:szCs w:val="24"/>
        </w:rPr>
      </w:pPr>
      <w:r>
        <w:rPr>
          <w:rFonts w:hint="eastAsia" w:ascii="Times New Roman" w:hAnsi="宋体"/>
          <w:b/>
          <w:sz w:val="24"/>
          <w:szCs w:val="24"/>
        </w:rPr>
        <w:t>[</w:t>
      </w:r>
      <w:r>
        <w:rPr>
          <w:rFonts w:ascii="Times New Roman" w:hAnsi="宋体"/>
          <w:b/>
          <w:sz w:val="24"/>
          <w:szCs w:val="24"/>
        </w:rPr>
        <w:t>以下为增资协议签字页，无正文</w:t>
      </w:r>
      <w:r>
        <w:rPr>
          <w:rFonts w:hint="eastAsia" w:ascii="Times New Roman" w:hAnsi="宋体"/>
          <w:b/>
          <w:sz w:val="24"/>
          <w:szCs w:val="24"/>
        </w:rPr>
        <w:t>]</w:t>
      </w:r>
    </w:p>
    <w:p>
      <w:pPr>
        <w:widowControl/>
        <w:jc w:val="left"/>
        <w:rPr>
          <w:rFonts w:ascii="Times New Roman" w:hAnsi="Times New Roman"/>
          <w:b/>
          <w:sz w:val="24"/>
          <w:szCs w:val="24"/>
        </w:rPr>
      </w:pPr>
      <w:r>
        <w:rPr>
          <w:rFonts w:ascii="Times New Roman" w:hAnsi="Times New Roman"/>
          <w:b/>
          <w:sz w:val="24"/>
          <w:szCs w:val="24"/>
        </w:rPr>
        <w:br w:type="page"/>
      </w:r>
    </w:p>
    <w:p>
      <w:pPr>
        <w:jc w:val="center"/>
        <w:rPr>
          <w:rFonts w:ascii="Times New Roman" w:hAnsi="Times New Roman"/>
          <w:sz w:val="24"/>
          <w:szCs w:val="24"/>
        </w:rPr>
      </w:pPr>
      <w:r>
        <w:rPr>
          <w:rFonts w:hint="eastAsia" w:ascii="Times New Roman" w:hAnsi="宋体"/>
          <w:sz w:val="24"/>
          <w:szCs w:val="24"/>
        </w:rPr>
        <w:t>（本页无正文，为增资协议签署页）</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公司：</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ascii="Times New Roman" w:hAnsi="宋体"/>
          <w:sz w:val="24"/>
          <w:szCs w:val="24"/>
        </w:rPr>
        <w:t>法定代表人：</w:t>
      </w:r>
      <w:r>
        <w:rPr>
          <w:rFonts w:hint="eastAsia" w:ascii="Times New Roman" w:hAnsi="宋体"/>
          <w:sz w:val="24"/>
          <w:szCs w:val="24"/>
        </w:rPr>
        <w:t>[XXX]</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创始人股东：</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w:t>
      </w:r>
      <w:r>
        <w:rPr>
          <w:rFonts w:ascii="Times New Roman" w:hAnsi="宋体"/>
          <w:sz w:val="24"/>
          <w:szCs w:val="24"/>
        </w:rPr>
        <w:t>：</w:t>
      </w:r>
      <w:r>
        <w:rPr>
          <w:rFonts w:hint="eastAsia" w:ascii="Times New Roman" w:hAnsi="宋体"/>
          <w:sz w:val="24"/>
          <w:szCs w:val="24"/>
        </w:rPr>
        <w:t>[XXX]</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非创始人股东：</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w:t>
      </w:r>
      <w:r>
        <w:rPr>
          <w:rFonts w:ascii="Times New Roman" w:hAnsi="宋体"/>
          <w:sz w:val="24"/>
          <w:szCs w:val="24"/>
        </w:rPr>
        <w:t>：</w:t>
      </w:r>
      <w:r>
        <w:rPr>
          <w:rFonts w:ascii="Times New Roman" w:hAnsi="Times New Roman"/>
          <w:sz w:val="24"/>
          <w:szCs w:val="24"/>
        </w:rPr>
        <w:t xml:space="preserve">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投资人：</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姓名：[XXX]</w:t>
      </w:r>
      <w:r>
        <w:rPr>
          <w:rFonts w:ascii="Times New Roman" w:hAnsi="Times New Roman"/>
          <w:sz w:val="24"/>
          <w:szCs w:val="24"/>
        </w:rPr>
        <w:t xml:space="preserve">      </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b/>
          <w:sz w:val="24"/>
          <w:szCs w:val="24"/>
        </w:rPr>
      </w:pPr>
      <w:r>
        <w:rPr>
          <w:rFonts w:ascii="Times New Roman" w:hAnsi="宋体"/>
          <w:b/>
          <w:sz w:val="24"/>
          <w:szCs w:val="24"/>
        </w:rPr>
        <w:t>投资人：</w:t>
      </w:r>
    </w:p>
    <w:p>
      <w:pPr>
        <w:rPr>
          <w:rFonts w:ascii="Times New Roman" w:hAnsi="Times New Roman"/>
          <w:sz w:val="24"/>
          <w:szCs w:val="24"/>
        </w:rPr>
      </w:pPr>
    </w:p>
    <w:p>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pPr>
        <w:rPr>
          <w:rFonts w:ascii="Times New Roman" w:hAnsi="Times New Roman"/>
          <w:sz w:val="24"/>
          <w:szCs w:val="24"/>
        </w:rPr>
      </w:pPr>
      <w:r>
        <w:rPr>
          <w:rFonts w:hint="eastAsia" w:ascii="Times New Roman" w:hAnsi="宋体"/>
          <w:sz w:val="24"/>
          <w:szCs w:val="24"/>
        </w:rPr>
        <w:t>姓名：[XXX]</w:t>
      </w:r>
      <w:r>
        <w:rPr>
          <w:rFonts w:ascii="Times New Roman" w:hAnsi="Times New Roman"/>
          <w:sz w:val="24"/>
          <w:szCs w:val="24"/>
        </w:rPr>
        <w:t xml:space="preserve">  </w:t>
      </w:r>
    </w:p>
    <w:p>
      <w:pPr>
        <w:rPr>
          <w:rFonts w:ascii="Times New Roman" w:hAnsi="Times New Roman"/>
          <w:sz w:val="24"/>
          <w:szCs w:val="24"/>
        </w:rPr>
      </w:pPr>
    </w:p>
    <w:p>
      <w:pPr>
        <w:rPr>
          <w:rFonts w:ascii="Times New Roman" w:hAnsi="Times New Roman"/>
          <w:sz w:val="24"/>
          <w:szCs w:val="24"/>
        </w:rPr>
      </w:pP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xml:space="preserve">   法务VC是一家专注于为天使轮和A轮阶段的创新型企业，提供一站式股权法律服务的机构。目前已签约服务130家公司，主要服务内容：合伙人顶层股权架构设计和退出机制，核心员工股权期权激励，融资法律顾问，股权众筹，新三板，IPO。</w:t>
      </w:r>
    </w:p>
    <w:p>
      <w:pPr>
        <w:jc w:val="center"/>
        <w:rPr>
          <w:rFonts w:ascii="Helvetica Neue" w:hAnsi="Helvetica Neue" w:cs="Helvetica Neue"/>
          <w:color w:val="2F2F2F"/>
          <w:kern w:val="0"/>
          <w:sz w:val="44"/>
          <w:szCs w:val="44"/>
        </w:rPr>
      </w:pPr>
      <w:r>
        <w:rPr>
          <w:rFonts w:ascii="Helvetica Neue" w:hAnsi="Helvetica Neue" w:cs="Helvetica Neue"/>
          <w:color w:val="2F2F2F"/>
          <w:kern w:val="0"/>
          <w:sz w:val="32"/>
          <w:szCs w:val="32"/>
        </w:rPr>
        <w:t>  </w:t>
      </w:r>
      <w:r>
        <w:rPr>
          <w:rFonts w:ascii="Helvetica Neue" w:hAnsi="Helvetica Neue" w:cs="Helvetica Neue"/>
          <w:color w:val="2F2F2F"/>
          <w:kern w:val="0"/>
          <w:sz w:val="44"/>
          <w:szCs w:val="44"/>
        </w:rPr>
        <w:t>最懂创业者的律师团队</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服务过IDG、软银赛富、中信国安、创新工场等投资机构； </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l 参与英特尔、Softbank、Alibaba Apple等公司的并购项目；</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至今已签约服务A轮融资公司30家天使轮融资公司 80家；</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成功运作新三板上市公司十余家。</w:t>
      </w:r>
    </w:p>
    <w:p>
      <w:pPr>
        <w:jc w:val="center"/>
        <w:rPr>
          <w:rFonts w:ascii="Helvetica Neue" w:hAnsi="Helvetica Neue" w:cs="Helvetica Neue"/>
          <w:color w:val="2F2F2F"/>
          <w:kern w:val="0"/>
          <w:sz w:val="32"/>
          <w:szCs w:val="32"/>
        </w:rPr>
      </w:pPr>
    </w:p>
    <w:p>
      <w:pPr>
        <w:jc w:val="center"/>
        <w:rPr>
          <w:rFonts w:ascii="Helvetica Neue" w:hAnsi="Helvetica Neue" w:cs="Helvetica Neue"/>
          <w:color w:val="2F2F2F"/>
          <w:kern w:val="0"/>
          <w:sz w:val="44"/>
          <w:szCs w:val="44"/>
        </w:rPr>
      </w:pPr>
      <w:r>
        <w:rPr>
          <w:rFonts w:ascii="Helvetica Neue" w:hAnsi="Helvetica Neue" w:cs="Helvetica Neue"/>
          <w:color w:val="2F2F2F"/>
          <w:kern w:val="0"/>
          <w:sz w:val="32"/>
          <w:szCs w:val="32"/>
        </w:rPr>
        <w:t>   </w:t>
      </w:r>
      <w:r>
        <w:rPr>
          <w:rFonts w:ascii="Helvetica Neue" w:hAnsi="Helvetica Neue" w:cs="Helvetica Neue"/>
          <w:color w:val="2F2F2F"/>
          <w:kern w:val="0"/>
          <w:sz w:val="44"/>
          <w:szCs w:val="44"/>
        </w:rPr>
        <w:t>独到的服务理念与丰富的实战经验</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以创业法务合伙人的定位为创业者服务；</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专注股权架构设计，独创“4C”股权架构模型；</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法务VC打破传统律师服务模式标准化和流程化服务体系；</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130家互联网创业公司股权法律服务签约客户;</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500家以上互联网创业公司股权架构设计咨询案例。  </w:t>
      </w: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我们每周为创业者提供五个一对一免费咨询名额  预约咨询请联系 Tom 微信 | 电话： 18210829881</w:t>
      </w:r>
    </w:p>
    <w:p>
      <w:pPr>
        <w:jc w:val="center"/>
        <w:rPr>
          <w:rFonts w:ascii="Helvetica Neue" w:hAnsi="Helvetica Neue" w:cs="Helvetica Neue"/>
          <w:color w:val="2F2F2F"/>
          <w:kern w:val="0"/>
          <w:sz w:val="32"/>
          <w:szCs w:val="32"/>
        </w:rPr>
      </w:pPr>
    </w:p>
    <w:p>
      <w:pPr>
        <w:jc w:val="center"/>
        <w:rPr>
          <w:rFonts w:ascii="Times" w:hAnsi="Times" w:cs="Times"/>
          <w:color w:val="2F2F2F"/>
          <w:kern w:val="0"/>
          <w:sz w:val="32"/>
          <w:szCs w:val="32"/>
        </w:rPr>
      </w:pPr>
      <w:r>
        <w:rPr>
          <w:rFonts w:ascii="Times" w:hAnsi="Times" w:cs="Times"/>
          <w:color w:val="2F2F2F"/>
          <w:kern w:val="0"/>
          <w:sz w:val="32"/>
          <w:szCs w:val="32"/>
        </w:rPr>
        <w:drawing>
          <wp:inline distT="0" distB="0" distL="0" distR="0">
            <wp:extent cx="1360805" cy="1360805"/>
            <wp:effectExtent l="0" t="0" r="0" b="0"/>
            <wp:docPr id="1" name="图片 1" descr="法务VC/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法务VC/公众号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60805" cy="1360805"/>
                    </a:xfrm>
                    <a:prstGeom prst="rect">
                      <a:avLst/>
                    </a:prstGeom>
                    <a:noFill/>
                    <a:ln>
                      <a:noFill/>
                    </a:ln>
                  </pic:spPr>
                </pic:pic>
              </a:graphicData>
            </a:graphic>
          </wp:inline>
        </w:drawing>
      </w:r>
    </w:p>
    <w:p>
      <w:pPr>
        <w:widowControl/>
        <w:autoSpaceDE w:val="0"/>
        <w:autoSpaceDN w:val="0"/>
        <w:adjustRightInd w:val="0"/>
        <w:jc w:val="center"/>
        <w:rPr>
          <w:rFonts w:ascii="Times" w:hAnsi="Times" w:cs="Times"/>
          <w:color w:val="2F2F2F"/>
          <w:kern w:val="0"/>
          <w:sz w:val="32"/>
          <w:szCs w:val="32"/>
        </w:rPr>
      </w:pPr>
      <w:r>
        <w:rPr>
          <w:rFonts w:ascii="Times" w:hAnsi="Times" w:cs="Times"/>
          <w:color w:val="2F2F2F"/>
          <w:kern w:val="0"/>
          <w:sz w:val="32"/>
          <w:szCs w:val="32"/>
        </w:rPr>
        <w:t>预约一对一免费咨询，请关注我们公众号！</w:t>
      </w:r>
    </w:p>
    <w:p>
      <w:pPr>
        <w:widowControl/>
        <w:autoSpaceDE w:val="0"/>
        <w:autoSpaceDN w:val="0"/>
        <w:adjustRightInd w:val="0"/>
        <w:jc w:val="center"/>
        <w:rPr>
          <w:rFonts w:ascii="Helvetica Neue" w:hAnsi="Helvetica Neue" w:cs="Helvetica Neue"/>
          <w:color w:val="2F2F2F"/>
          <w:kern w:val="0"/>
          <w:sz w:val="32"/>
          <w:szCs w:val="32"/>
        </w:rPr>
      </w:pPr>
    </w:p>
    <w:p>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如需更多干货，请查看历史消息。</w:t>
      </w:r>
    </w:p>
    <w:p>
      <w:pPr>
        <w:jc w:val="center"/>
        <w:rPr>
          <w:rFonts w:hint="eastAsia" w:ascii="Helvetica Neue" w:hAnsi="Helvetica Neue" w:cs="Helvetica Neue"/>
          <w:color w:val="2F2F2F"/>
          <w:kern w:val="0"/>
          <w:sz w:val="32"/>
          <w:szCs w:val="32"/>
        </w:rPr>
      </w:pPr>
    </w:p>
    <w:p>
      <w:pPr>
        <w:jc w:val="center"/>
        <w:rPr>
          <w:rFonts w:hint="eastAsia" w:ascii="Helvetica Neue" w:hAnsi="Helvetica Neue" w:cs="Helvetica Neue"/>
          <w:color w:val="2F2F2F"/>
          <w:kern w:val="0"/>
          <w:sz w:val="32"/>
          <w:szCs w:val="32"/>
        </w:rPr>
      </w:pPr>
    </w:p>
    <w:p>
      <w:pPr>
        <w:spacing w:line="360" w:lineRule="auto"/>
        <w:jc w:val="center"/>
        <w:rPr>
          <w:b/>
          <w:sz w:val="28"/>
          <w:szCs w:val="28"/>
        </w:rPr>
      </w:pPr>
      <w:r>
        <w:rPr>
          <w:rFonts w:hint="eastAsia"/>
          <w:b/>
          <w:sz w:val="28"/>
          <w:szCs w:val="28"/>
        </w:rPr>
        <w:t>欢迎</w:t>
      </w:r>
      <w:r>
        <w:rPr>
          <w:b/>
          <w:sz w:val="28"/>
          <w:szCs w:val="28"/>
        </w:rPr>
        <w:t>交流：</w:t>
      </w:r>
    </w:p>
    <w:p>
      <w:pPr>
        <w:spacing w:line="360" w:lineRule="auto"/>
        <w:jc w:val="center"/>
      </w:pPr>
      <w:r>
        <w:rPr>
          <w:rFonts w:hint="eastAsia"/>
        </w:rPr>
        <w:drawing>
          <wp:inline distT="0" distB="0" distL="0" distR="0">
            <wp:extent cx="2235200" cy="222250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5200" cy="2222500"/>
                    </a:xfrm>
                    <a:prstGeom prst="rect">
                      <a:avLst/>
                    </a:prstGeom>
                  </pic:spPr>
                </pic:pic>
              </a:graphicData>
            </a:graphic>
          </wp:inline>
        </w:drawing>
      </w:r>
    </w:p>
    <w:p>
      <w:pPr>
        <w:spacing w:line="360" w:lineRule="auto"/>
        <w:jc w:val="center"/>
        <w:rPr>
          <w:rFonts w:hint="eastAsia"/>
        </w:rPr>
      </w:pPr>
    </w:p>
    <w:p>
      <w:pPr>
        <w:spacing w:line="360" w:lineRule="auto"/>
        <w:jc w:val="center"/>
        <w:rPr>
          <w:b/>
          <w:sz w:val="32"/>
          <w:szCs w:val="32"/>
        </w:rPr>
      </w:pPr>
      <w:r>
        <w:rPr>
          <w:rFonts w:hint="eastAsia"/>
          <w:b/>
          <w:sz w:val="32"/>
          <w:szCs w:val="32"/>
        </w:rPr>
        <w:t>微信</w:t>
      </w:r>
      <w:r>
        <w:rPr>
          <w:b/>
          <w:sz w:val="32"/>
          <w:szCs w:val="32"/>
        </w:rPr>
        <w:t>：</w:t>
      </w:r>
      <w:r>
        <w:rPr>
          <w:rFonts w:hint="eastAsia"/>
          <w:b/>
          <w:sz w:val="32"/>
          <w:szCs w:val="32"/>
        </w:rPr>
        <w:t>guodalibulao</w:t>
      </w:r>
    </w:p>
    <w:p>
      <w:pPr>
        <w:spacing w:line="360" w:lineRule="auto"/>
        <w:jc w:val="center"/>
        <w:rPr>
          <w:b/>
          <w:sz w:val="32"/>
          <w:szCs w:val="32"/>
        </w:rPr>
      </w:pPr>
      <w:r>
        <w:rPr>
          <w:rFonts w:hint="eastAsia"/>
          <w:b/>
          <w:sz w:val="32"/>
          <w:szCs w:val="32"/>
        </w:rPr>
        <w:t>电话</w:t>
      </w:r>
      <w:r>
        <w:rPr>
          <w:b/>
          <w:sz w:val="32"/>
          <w:szCs w:val="32"/>
        </w:rPr>
        <w:t>：18210829881</w:t>
      </w:r>
    </w:p>
    <w:p>
      <w:pPr>
        <w:jc w:val="cente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楷体_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華康儷簡宋">
    <w:altName w:val="PMingLiU"/>
    <w:panose1 w:val="00000000000000000000"/>
    <w:charset w:val="88"/>
    <w:family w:val="auto"/>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Times">
    <w:altName w:val="Times New Roman"/>
    <w:panose1 w:val="02000500000000000000"/>
    <w:charset w:val="00"/>
    <w:family w:val="auto"/>
    <w:pitch w:val="default"/>
    <w:sig w:usb0="00000000" w:usb1="00000000" w:usb2="00000000" w:usb3="00000000" w:csb0="00000001" w:csb1="00000000"/>
  </w:font>
  <w:font w:name="华文楷体">
    <w:altName w:val="宋体"/>
    <w:panose1 w:val="00000000000000000000"/>
    <w:charset w:val="86"/>
    <w:family w:val="auto"/>
    <w:pitch w:val="default"/>
    <w:sig w:usb0="00000000" w:usb1="0000000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t>- 17 -</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pict>
        <v:shape id="PowerPlusWaterMarkObject1" o:spid="_x0000_s2052" o:spt="136" type="#_x0000_t136" style="position:absolute;left:0pt;height:138.4pt;width:415.25pt;mso-position-horizontal:center;mso-position-horizontal-relative:margin;mso-position-vertical:center;mso-position-vertical-relative:margin;z-index:-251655168;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2" o:spid="_x0000_s2053" o:spt="136" type="#_x0000_t136" style="position:absolute;left:0pt;height:138.4pt;width:415.25pt;mso-position-horizontal:center;mso-position-horizontal-relative:margin;mso-position-vertical:center;mso-position-vertical-relative:margin;z-index:-251654144;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pict>
        <v:shape id="PowerPlusWaterMarkObject3" o:spid="_x0000_s2054" o:spt="136" type="#_x0000_t136" style="position:absolute;left:0pt;height:138.4pt;width:415.25pt;mso-position-horizontal:center;mso-position-horizontal-relative:margin;mso-position-vertical:center;mso-position-vertical-relative:margin;z-index:-251653120;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r>
      <w:pict>
        <v:shape id="_x0000_s2050" o:spid="_x0000_s2050" o:spt="136" type="#_x0000_t136" style="position:absolute;left:0pt;height:66.4pt;width:402.5pt;mso-position-horizontal:center;mso-position-horizontal-relative:margin;mso-position-vertical:center;mso-position-vertical-relative:margin;rotation:20643840f;z-index:-251656192;mso-width-relative:page;mso-height-relative:page;" fillcolor="#C0C0C0" filled="t" o:preferrelative="t" stroked="f" coordsize="21600,21600">
          <v:path/>
          <v:fill on="t" opacity="32768f" focussize="0,0"/>
          <v:stroke on="f"/>
          <v:imagedata o:title=""/>
          <o:lock v:ext="edit" text="f" aspectratio="t"/>
          <v:textpath on="t" fitshape="t" fitpath="t" trim="t" xscale="f" string="七八点股权架构师" style="font-size:6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3"/>
      <w:lvlText w:val="(%1)"/>
      <w:lvlJc w:val="left"/>
      <w:pPr>
        <w:tabs>
          <w:tab w:val="left" w:pos="1418"/>
        </w:tabs>
        <w:ind w:left="1418" w:hanging="709"/>
      </w:pPr>
      <w:rPr>
        <w:rFonts w:hint="default" w:ascii="Arial" w:hAnsi="Arial" w:eastAsia="楷体_GB2312"/>
        <w:b w:val="0"/>
        <w:i w:val="0"/>
        <w:spacing w:val="0"/>
        <w:sz w:val="24"/>
        <w:lang w:eastAsia="zh-CN"/>
      </w:rPr>
    </w:lvl>
    <w:lvl w:ilvl="1" w:tentative="0">
      <w:start w:val="1"/>
      <w:numFmt w:val="lowerLetter"/>
      <w:lvlText w:val="(%2)"/>
      <w:lvlJc w:val="left"/>
      <w:pPr>
        <w:tabs>
          <w:tab w:val="left" w:pos="1140"/>
        </w:tabs>
        <w:ind w:left="1140" w:hanging="720"/>
      </w:pPr>
      <w:rPr>
        <w:rFonts w:hint="default" w:ascii="Times" w:hAnsi="Times"/>
        <w:b w:val="0"/>
        <w:i w:val="0"/>
        <w:spacing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6"/>
    <w:multiLevelType w:val="multilevel"/>
    <w:tmpl w:val="00000016"/>
    <w:lvl w:ilvl="0" w:tentative="0">
      <w:start w:val="1"/>
      <w:numFmt w:val="chineseCountingThousand"/>
      <w:lvlText w:val="第%1条"/>
      <w:lvlJc w:val="left"/>
      <w:pPr>
        <w:tabs>
          <w:tab w:val="left" w:pos="4820"/>
        </w:tabs>
        <w:ind w:left="4820" w:hanging="680"/>
      </w:pPr>
      <w:rPr>
        <w:rFonts w:hint="eastAsia" w:ascii="宋体" w:hAnsi="宋体" w:eastAsia="宋体"/>
      </w:rPr>
    </w:lvl>
    <w:lvl w:ilvl="1" w:tentative="0">
      <w:start w:val="1"/>
      <w:numFmt w:val="decimal"/>
      <w:pStyle w:val="3"/>
      <w:isLgl/>
      <w:lvlText w:val="%1.%2"/>
      <w:lvlJc w:val="left"/>
      <w:pPr>
        <w:tabs>
          <w:tab w:val="left" w:pos="680"/>
        </w:tabs>
        <w:ind w:left="680" w:hanging="680"/>
      </w:pPr>
      <w:rPr>
        <w:rFonts w:hint="eastAsia" w:ascii="宋体" w:hAnsi="宋体" w:eastAsia="宋体"/>
      </w:rPr>
    </w:lvl>
    <w:lvl w:ilvl="2" w:tentative="0">
      <w:start w:val="1"/>
      <w:numFmt w:val="decimal"/>
      <w:lvlText w:val="(%3)"/>
      <w:lvlJc w:val="left"/>
      <w:pPr>
        <w:tabs>
          <w:tab w:val="left" w:pos="1100"/>
        </w:tabs>
        <w:ind w:left="1100" w:hanging="420"/>
      </w:pPr>
      <w:rPr>
        <w:rFonts w:hint="eastAsia" w:ascii="宋体" w:hAnsi="宋体" w:eastAsia="宋体"/>
      </w:rPr>
    </w:lvl>
    <w:lvl w:ilvl="3" w:tentative="0">
      <w:start w:val="1"/>
      <w:numFmt w:val="decimal"/>
      <w:isLgl/>
      <w:lvlText w:val="%1.%2.%3.%4"/>
      <w:lvlJc w:val="left"/>
      <w:pPr>
        <w:tabs>
          <w:tab w:val="left" w:pos="1701"/>
        </w:tabs>
        <w:ind w:left="1701" w:hanging="283"/>
      </w:pPr>
      <w:rPr>
        <w:rFonts w:hint="eastAsia"/>
      </w:rPr>
    </w:lvl>
    <w:lvl w:ilvl="4" w:tentative="0">
      <w:start w:val="1"/>
      <w:numFmt w:val="lowerRoman"/>
      <w:lvlText w:val="(%5)"/>
      <w:lvlJc w:val="left"/>
      <w:pPr>
        <w:tabs>
          <w:tab w:val="left" w:pos="2160"/>
        </w:tabs>
        <w:ind w:left="2160" w:hanging="720"/>
      </w:pPr>
      <w:rPr>
        <w:rFonts w:hint="default"/>
        <w:b w:val="0"/>
      </w:rPr>
    </w:lvl>
    <w:lvl w:ilvl="5" w:tentative="0">
      <w:start w:val="1"/>
      <w:numFmt w:val="upperLetter"/>
      <w:lvlText w:val="%6."/>
      <w:lvlJc w:val="left"/>
      <w:pPr>
        <w:tabs>
          <w:tab w:val="left" w:pos="2160"/>
        </w:tabs>
        <w:ind w:left="2160" w:hanging="720"/>
      </w:pPr>
      <w:rPr>
        <w:rFonts w:hint="default"/>
      </w:rPr>
    </w:lvl>
    <w:lvl w:ilvl="6" w:tentative="0">
      <w:start w:val="1"/>
      <w:numFmt w:val="upperRoman"/>
      <w:lvlText w:val="%7."/>
      <w:lvlJc w:val="left"/>
      <w:pPr>
        <w:tabs>
          <w:tab w:val="left" w:pos="2880"/>
        </w:tabs>
        <w:ind w:left="2880" w:hanging="720"/>
      </w:pPr>
      <w:rPr>
        <w:rFonts w:hint="default"/>
        <w:b/>
      </w:rPr>
    </w:lvl>
    <w:lvl w:ilvl="7" w:tentative="0">
      <w:start w:val="1"/>
      <w:numFmt w:val="decimal"/>
      <w:lvlText w:val="(%8)"/>
      <w:lvlJc w:val="left"/>
      <w:pPr>
        <w:tabs>
          <w:tab w:val="left" w:pos="3600"/>
        </w:tabs>
        <w:ind w:left="3600" w:hanging="720"/>
      </w:pPr>
      <w:rPr>
        <w:rFonts w:hint="default"/>
      </w:rPr>
    </w:lvl>
    <w:lvl w:ilvl="8" w:tentative="0">
      <w:start w:val="1"/>
      <w:numFmt w:val="decimal"/>
      <w:lvlText w:val="%9."/>
      <w:lvlJc w:val="left"/>
      <w:pPr>
        <w:tabs>
          <w:tab w:val="left" w:pos="4321"/>
        </w:tabs>
        <w:ind w:left="4321" w:hanging="721"/>
      </w:pPr>
      <w:rPr>
        <w:rFonts w:hint="default"/>
      </w:rPr>
    </w:lvl>
  </w:abstractNum>
  <w:abstractNum w:abstractNumId="2">
    <w:nsid w:val="00000031"/>
    <w:multiLevelType w:val="multilevel"/>
    <w:tmpl w:val="00000031"/>
    <w:lvl w:ilvl="0" w:tentative="0">
      <w:start w:val="1"/>
      <w:numFmt w:val="decimal"/>
      <w:pStyle w:val="25"/>
      <w:lvlText w:val="%1."/>
      <w:lvlJc w:val="left"/>
      <w:pPr>
        <w:tabs>
          <w:tab w:val="left" w:pos="720"/>
        </w:tabs>
        <w:ind w:left="720" w:hanging="720"/>
      </w:pPr>
      <w:rPr>
        <w:rFonts w:ascii="Times New Roman" w:hAnsi="Times New Roman" w:cs="Times New Roman"/>
        <w:b w:val="0"/>
        <w:bCs w:val="0"/>
        <w:i w:val="0"/>
        <w:iCs w:val="0"/>
        <w:kern w:val="2"/>
        <w:sz w:val="21"/>
        <w:szCs w:val="21"/>
      </w:rPr>
    </w:lvl>
    <w:lvl w:ilvl="1" w:tentative="0">
      <w:start w:val="1"/>
      <w:numFmt w:val="decimal"/>
      <w:pStyle w:val="26"/>
      <w:lvlText w:val="%1.%2"/>
      <w:lvlJc w:val="left"/>
      <w:pPr>
        <w:tabs>
          <w:tab w:val="left" w:pos="1440"/>
        </w:tabs>
        <w:ind w:left="1440" w:hanging="720"/>
      </w:pPr>
      <w:rPr>
        <w:rFonts w:ascii="Times New Roman" w:hAnsi="Times New Roman" w:cs="Times New Roman"/>
        <w:b w:val="0"/>
        <w:bCs w:val="0"/>
        <w:kern w:val="2"/>
        <w:sz w:val="24"/>
        <w:szCs w:val="24"/>
      </w:rPr>
    </w:lvl>
    <w:lvl w:ilvl="2" w:tentative="0">
      <w:start w:val="1"/>
      <w:numFmt w:val="lowerLetter"/>
      <w:pStyle w:val="27"/>
      <w:lvlText w:val="(%3)"/>
      <w:lvlJc w:val="left"/>
      <w:pPr>
        <w:tabs>
          <w:tab w:val="left" w:pos="2160"/>
        </w:tabs>
        <w:ind w:left="2160" w:hanging="720"/>
      </w:pPr>
      <w:rPr>
        <w:rFonts w:ascii="Times New Roman" w:hAnsi="Times New Roman" w:cs="Times New Roman"/>
        <w:b w:val="0"/>
        <w:bCs w:val="0"/>
        <w:kern w:val="2"/>
        <w:sz w:val="24"/>
        <w:szCs w:val="24"/>
      </w:rPr>
    </w:lvl>
    <w:lvl w:ilvl="3" w:tentative="0">
      <w:start w:val="1"/>
      <w:numFmt w:val="decimal"/>
      <w:lvlText w:val="%1.%2.%3.%4."/>
      <w:lvlJc w:val="left"/>
      <w:pPr>
        <w:tabs>
          <w:tab w:val="left" w:pos="1800"/>
        </w:tabs>
        <w:ind w:left="1728" w:hanging="648"/>
      </w:pPr>
      <w:rPr>
        <w:rFonts w:ascii="Arial" w:hAnsi="Arial" w:cs="Arial"/>
        <w:kern w:val="2"/>
        <w:sz w:val="23"/>
        <w:szCs w:val="23"/>
      </w:rPr>
    </w:lvl>
    <w:lvl w:ilvl="4" w:tentative="0">
      <w:start w:val="1"/>
      <w:numFmt w:val="decimal"/>
      <w:lvlText w:val="%1.%2.%3.%4.%5."/>
      <w:lvlJc w:val="left"/>
      <w:pPr>
        <w:tabs>
          <w:tab w:val="left" w:pos="2520"/>
        </w:tabs>
        <w:ind w:left="2232" w:hanging="792"/>
      </w:pPr>
      <w:rPr>
        <w:rFonts w:ascii="Arial" w:hAnsi="Arial" w:cs="Arial"/>
        <w:kern w:val="2"/>
        <w:sz w:val="23"/>
        <w:szCs w:val="23"/>
      </w:rPr>
    </w:lvl>
    <w:lvl w:ilvl="5" w:tentative="0">
      <w:start w:val="1"/>
      <w:numFmt w:val="decimal"/>
      <w:lvlText w:val="%1.%2.%3.%4.%5.%6."/>
      <w:lvlJc w:val="left"/>
      <w:pPr>
        <w:tabs>
          <w:tab w:val="left" w:pos="2880"/>
        </w:tabs>
        <w:ind w:left="2736" w:hanging="936"/>
      </w:pPr>
      <w:rPr>
        <w:rFonts w:ascii="Arial" w:hAnsi="Arial" w:cs="Arial"/>
        <w:kern w:val="2"/>
        <w:sz w:val="23"/>
        <w:szCs w:val="23"/>
      </w:rPr>
    </w:lvl>
    <w:lvl w:ilvl="6" w:tentative="0">
      <w:start w:val="1"/>
      <w:numFmt w:val="decimal"/>
      <w:lvlText w:val="%1.%2.%3.%4.%5.%6.%7."/>
      <w:lvlJc w:val="left"/>
      <w:pPr>
        <w:tabs>
          <w:tab w:val="left" w:pos="3600"/>
        </w:tabs>
        <w:ind w:left="3240" w:hanging="1080"/>
      </w:pPr>
      <w:rPr>
        <w:rFonts w:ascii="Arial" w:hAnsi="Arial" w:cs="Arial"/>
        <w:kern w:val="2"/>
        <w:sz w:val="23"/>
        <w:szCs w:val="23"/>
      </w:rPr>
    </w:lvl>
    <w:lvl w:ilvl="7" w:tentative="0">
      <w:start w:val="1"/>
      <w:numFmt w:val="decimal"/>
      <w:lvlText w:val="%1.%2.%3.%4.%5.%6.%7.%8."/>
      <w:lvlJc w:val="left"/>
      <w:pPr>
        <w:tabs>
          <w:tab w:val="left" w:pos="3960"/>
        </w:tabs>
        <w:ind w:left="3744" w:hanging="1224"/>
      </w:pPr>
      <w:rPr>
        <w:rFonts w:ascii="Arial" w:hAnsi="Arial" w:cs="Arial"/>
        <w:kern w:val="2"/>
        <w:sz w:val="23"/>
        <w:szCs w:val="23"/>
      </w:rPr>
    </w:lvl>
    <w:lvl w:ilvl="8" w:tentative="0">
      <w:start w:val="1"/>
      <w:numFmt w:val="decimal"/>
      <w:lvlText w:val="%1.%2.%3.%4.%5.%6.%7.%8.%9."/>
      <w:lvlJc w:val="left"/>
      <w:pPr>
        <w:tabs>
          <w:tab w:val="left" w:pos="4680"/>
        </w:tabs>
        <w:ind w:left="4320" w:hanging="1440"/>
      </w:pPr>
      <w:rPr>
        <w:rFonts w:ascii="Arial" w:hAnsi="Arial" w:cs="Arial"/>
        <w:kern w:val="2"/>
        <w:sz w:val="23"/>
        <w:szCs w:val="23"/>
      </w:rPr>
    </w:lvl>
  </w:abstractNum>
  <w:abstractNum w:abstractNumId="3">
    <w:nsid w:val="01444372"/>
    <w:multiLevelType w:val="multilevel"/>
    <w:tmpl w:val="0144437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4">
    <w:nsid w:val="044C0642"/>
    <w:multiLevelType w:val="multilevel"/>
    <w:tmpl w:val="044C064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5">
    <w:nsid w:val="0E7267D2"/>
    <w:multiLevelType w:val="multilevel"/>
    <w:tmpl w:val="0E7267D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6">
    <w:nsid w:val="12160D71"/>
    <w:multiLevelType w:val="multilevel"/>
    <w:tmpl w:val="12160D71"/>
    <w:lvl w:ilvl="0" w:tentative="0">
      <w:start w:val="1"/>
      <w:numFmt w:val="decimal"/>
      <w:lvlText w:val="%1、"/>
      <w:lvlJc w:val="left"/>
      <w:pPr>
        <w:ind w:left="676" w:hanging="360"/>
      </w:pPr>
      <w:rPr>
        <w:b/>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7">
    <w:nsid w:val="1A8067D3"/>
    <w:multiLevelType w:val="multilevel"/>
    <w:tmpl w:val="1A8067D3"/>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1C3653"/>
    <w:multiLevelType w:val="multilevel"/>
    <w:tmpl w:val="261C3653"/>
    <w:lvl w:ilvl="0" w:tentative="0">
      <w:start w:val="1"/>
      <w:numFmt w:val="chineseCountingThousand"/>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F713AB"/>
    <w:multiLevelType w:val="multilevel"/>
    <w:tmpl w:val="26F713AB"/>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0">
    <w:nsid w:val="284C1ECF"/>
    <w:multiLevelType w:val="multilevel"/>
    <w:tmpl w:val="284C1ECF"/>
    <w:lvl w:ilvl="0" w:tentative="0">
      <w:start w:val="1"/>
      <w:numFmt w:val="decimal"/>
      <w:lvlText w:val="(%1)"/>
      <w:lvlJc w:val="left"/>
      <w:pPr>
        <w:ind w:left="1413"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1">
    <w:nsid w:val="35301E46"/>
    <w:multiLevelType w:val="multilevel"/>
    <w:tmpl w:val="35301E46"/>
    <w:lvl w:ilvl="0" w:tentative="0">
      <w:start w:val="1"/>
      <w:numFmt w:val="decimal"/>
      <w:lvlText w:val="(%1)"/>
      <w:lvlJc w:val="left"/>
      <w:pPr>
        <w:ind w:left="1697"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2">
    <w:nsid w:val="52D7579E"/>
    <w:multiLevelType w:val="multilevel"/>
    <w:tmpl w:val="52D7579E"/>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3">
    <w:nsid w:val="53610978"/>
    <w:multiLevelType w:val="multilevel"/>
    <w:tmpl w:val="53610978"/>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4">
    <w:nsid w:val="538E35B2"/>
    <w:multiLevelType w:val="multilevel"/>
    <w:tmpl w:val="538E35B2"/>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5">
    <w:nsid w:val="5B9F3C19"/>
    <w:multiLevelType w:val="multilevel"/>
    <w:tmpl w:val="5B9F3C19"/>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16">
    <w:nsid w:val="662F5B41"/>
    <w:multiLevelType w:val="multilevel"/>
    <w:tmpl w:val="662F5B41"/>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7">
    <w:nsid w:val="68AF5850"/>
    <w:multiLevelType w:val="multilevel"/>
    <w:tmpl w:val="68AF5850"/>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3C5884"/>
    <w:multiLevelType w:val="multilevel"/>
    <w:tmpl w:val="6A3C5884"/>
    <w:lvl w:ilvl="0" w:tentative="0">
      <w:start w:val="1"/>
      <w:numFmt w:val="chineseCountingThousand"/>
      <w:lvlText w:val="第%1条"/>
      <w:lvlJc w:val="left"/>
      <w:pPr>
        <w:tabs>
          <w:tab w:val="left" w:pos="4820"/>
        </w:tabs>
        <w:ind w:left="4820" w:hanging="680"/>
      </w:pPr>
      <w:rPr>
        <w:rFonts w:hint="eastAsia" w:ascii="宋体" w:hAnsi="宋体" w:eastAsia="宋体"/>
      </w:rPr>
    </w:lvl>
    <w:lvl w:ilvl="1" w:tentative="0">
      <w:start w:val="1"/>
      <w:numFmt w:val="chineseCountingThousand"/>
      <w:lvlText w:val="第%2条"/>
      <w:lvlJc w:val="left"/>
      <w:pPr>
        <w:tabs>
          <w:tab w:val="left" w:pos="680"/>
        </w:tabs>
        <w:ind w:left="680" w:hanging="680"/>
      </w:pPr>
      <w:rPr>
        <w:rFonts w:hint="eastAsia"/>
      </w:rPr>
    </w:lvl>
    <w:lvl w:ilvl="2" w:tentative="0">
      <w:start w:val="1"/>
      <w:numFmt w:val="decimal"/>
      <w:lvlText w:val="(%3)"/>
      <w:lvlJc w:val="left"/>
      <w:pPr>
        <w:tabs>
          <w:tab w:val="left" w:pos="1100"/>
        </w:tabs>
        <w:ind w:left="1100" w:hanging="420"/>
      </w:pPr>
      <w:rPr>
        <w:rFonts w:hint="eastAsia" w:ascii="宋体" w:hAnsi="宋体" w:eastAsia="宋体"/>
      </w:rPr>
    </w:lvl>
    <w:lvl w:ilvl="3" w:tentative="0">
      <w:start w:val="1"/>
      <w:numFmt w:val="decimal"/>
      <w:isLgl/>
      <w:lvlText w:val="%1.%2.%3.%4"/>
      <w:lvlJc w:val="left"/>
      <w:pPr>
        <w:tabs>
          <w:tab w:val="left" w:pos="1701"/>
        </w:tabs>
        <w:ind w:left="1701" w:hanging="283"/>
      </w:pPr>
      <w:rPr>
        <w:rFonts w:hint="eastAsia"/>
      </w:rPr>
    </w:lvl>
    <w:lvl w:ilvl="4" w:tentative="0">
      <w:start w:val="1"/>
      <w:numFmt w:val="lowerRoman"/>
      <w:lvlText w:val="(%5)"/>
      <w:lvlJc w:val="left"/>
      <w:pPr>
        <w:tabs>
          <w:tab w:val="left" w:pos="2160"/>
        </w:tabs>
        <w:ind w:left="2160" w:hanging="720"/>
      </w:pPr>
      <w:rPr>
        <w:rFonts w:hint="default"/>
        <w:b w:val="0"/>
      </w:rPr>
    </w:lvl>
    <w:lvl w:ilvl="5" w:tentative="0">
      <w:start w:val="1"/>
      <w:numFmt w:val="upperLetter"/>
      <w:lvlText w:val="%6."/>
      <w:lvlJc w:val="left"/>
      <w:pPr>
        <w:tabs>
          <w:tab w:val="left" w:pos="2160"/>
        </w:tabs>
        <w:ind w:left="2160" w:hanging="720"/>
      </w:pPr>
      <w:rPr>
        <w:rFonts w:hint="default"/>
      </w:rPr>
    </w:lvl>
    <w:lvl w:ilvl="6" w:tentative="0">
      <w:start w:val="1"/>
      <w:numFmt w:val="upperRoman"/>
      <w:lvlText w:val="%7."/>
      <w:lvlJc w:val="left"/>
      <w:pPr>
        <w:tabs>
          <w:tab w:val="left" w:pos="2880"/>
        </w:tabs>
        <w:ind w:left="2880" w:hanging="720"/>
      </w:pPr>
      <w:rPr>
        <w:rFonts w:hint="default"/>
        <w:b/>
      </w:rPr>
    </w:lvl>
    <w:lvl w:ilvl="7" w:tentative="0">
      <w:start w:val="1"/>
      <w:numFmt w:val="decimal"/>
      <w:lvlText w:val="(%8)"/>
      <w:lvlJc w:val="left"/>
      <w:pPr>
        <w:tabs>
          <w:tab w:val="left" w:pos="3600"/>
        </w:tabs>
        <w:ind w:left="3600" w:hanging="720"/>
      </w:pPr>
      <w:rPr>
        <w:rFonts w:hint="default"/>
      </w:rPr>
    </w:lvl>
    <w:lvl w:ilvl="8" w:tentative="0">
      <w:start w:val="1"/>
      <w:numFmt w:val="decimal"/>
      <w:lvlText w:val="%9."/>
      <w:lvlJc w:val="left"/>
      <w:pPr>
        <w:tabs>
          <w:tab w:val="left" w:pos="4321"/>
        </w:tabs>
        <w:ind w:left="4321" w:hanging="721"/>
      </w:pPr>
      <w:rPr>
        <w:rFonts w:hint="default"/>
      </w:rPr>
    </w:lvl>
  </w:abstractNum>
  <w:abstractNum w:abstractNumId="19">
    <w:nsid w:val="6BF90ED1"/>
    <w:multiLevelType w:val="multilevel"/>
    <w:tmpl w:val="6BF90ED1"/>
    <w:lvl w:ilvl="0" w:tentative="0">
      <w:start w:val="1"/>
      <w:numFmt w:val="decimal"/>
      <w:lvlText w:val="(%1)"/>
      <w:lvlJc w:val="left"/>
      <w:pPr>
        <w:ind w:left="1200" w:hanging="420"/>
      </w:pPr>
      <w:rPr>
        <w:rFonts w:hint="default" w:ascii="Times New Roman" w:hAnsi="Times New Roman" w:cs="Times New Roman"/>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CCF214D"/>
    <w:multiLevelType w:val="multilevel"/>
    <w:tmpl w:val="6CCF214D"/>
    <w:lvl w:ilvl="0" w:tentative="0">
      <w:start w:val="1"/>
      <w:numFmt w:val="decimal"/>
      <w:lvlText w:val="%1、"/>
      <w:lvlJc w:val="left"/>
      <w:pPr>
        <w:ind w:left="676" w:hanging="360"/>
      </w:pPr>
      <w:rPr>
        <w:b/>
      </w:rPr>
    </w:lvl>
    <w:lvl w:ilvl="1" w:tentative="0">
      <w:start w:val="1"/>
      <w:numFmt w:val="lowerLetter"/>
      <w:lvlText w:val="%2)"/>
      <w:lvlJc w:val="left"/>
      <w:pPr>
        <w:ind w:left="1156" w:hanging="420"/>
      </w:pPr>
    </w:lvl>
    <w:lvl w:ilvl="2" w:tentative="0">
      <w:start w:val="1"/>
      <w:numFmt w:val="lowerRoman"/>
      <w:lvlText w:val="%3."/>
      <w:lvlJc w:val="right"/>
      <w:pPr>
        <w:ind w:left="1576" w:hanging="420"/>
      </w:pPr>
    </w:lvl>
    <w:lvl w:ilvl="3" w:tentative="0">
      <w:start w:val="1"/>
      <w:numFmt w:val="decimal"/>
      <w:lvlText w:val="%4."/>
      <w:lvlJc w:val="left"/>
      <w:pPr>
        <w:ind w:left="1996" w:hanging="420"/>
      </w:pPr>
    </w:lvl>
    <w:lvl w:ilvl="4" w:tentative="0">
      <w:start w:val="1"/>
      <w:numFmt w:val="lowerLetter"/>
      <w:lvlText w:val="%5)"/>
      <w:lvlJc w:val="left"/>
      <w:pPr>
        <w:ind w:left="2416" w:hanging="420"/>
      </w:pPr>
    </w:lvl>
    <w:lvl w:ilvl="5" w:tentative="0">
      <w:start w:val="1"/>
      <w:numFmt w:val="lowerRoman"/>
      <w:lvlText w:val="%6."/>
      <w:lvlJc w:val="right"/>
      <w:pPr>
        <w:ind w:left="2836" w:hanging="420"/>
      </w:pPr>
    </w:lvl>
    <w:lvl w:ilvl="6" w:tentative="0">
      <w:start w:val="1"/>
      <w:numFmt w:val="decimal"/>
      <w:lvlText w:val="%7."/>
      <w:lvlJc w:val="left"/>
      <w:pPr>
        <w:ind w:left="3256" w:hanging="420"/>
      </w:pPr>
    </w:lvl>
    <w:lvl w:ilvl="7" w:tentative="0">
      <w:start w:val="1"/>
      <w:numFmt w:val="lowerLetter"/>
      <w:lvlText w:val="%8)"/>
      <w:lvlJc w:val="left"/>
      <w:pPr>
        <w:ind w:left="3676" w:hanging="420"/>
      </w:pPr>
    </w:lvl>
    <w:lvl w:ilvl="8" w:tentative="0">
      <w:start w:val="1"/>
      <w:numFmt w:val="lowerRoman"/>
      <w:lvlText w:val="%9."/>
      <w:lvlJc w:val="right"/>
      <w:pPr>
        <w:ind w:left="4096" w:hanging="420"/>
      </w:pPr>
    </w:lvl>
  </w:abstractNum>
  <w:abstractNum w:abstractNumId="21">
    <w:nsid w:val="6FE73AA5"/>
    <w:multiLevelType w:val="multilevel"/>
    <w:tmpl w:val="6FE73AA5"/>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22">
    <w:nsid w:val="6FF605EC"/>
    <w:multiLevelType w:val="multilevel"/>
    <w:tmpl w:val="6FF605EC"/>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abstractNum w:abstractNumId="23">
    <w:nsid w:val="7BF54C91"/>
    <w:multiLevelType w:val="multilevel"/>
    <w:tmpl w:val="7BF54C91"/>
    <w:lvl w:ilvl="0" w:tentative="0">
      <w:start w:val="1"/>
      <w:numFmt w:val="chineseCountingThousand"/>
      <w:lvlText w:val="第%1条"/>
      <w:lvlJc w:val="left"/>
      <w:pPr>
        <w:ind w:left="360" w:hanging="360"/>
      </w:pPr>
      <w:rPr>
        <w:rFonts w:hint="default"/>
      </w:rPr>
    </w:lvl>
    <w:lvl w:ilvl="1" w:tentative="0">
      <w:start w:val="1"/>
      <w:numFmt w:val="decimal"/>
      <w:lvlText w:val="%2."/>
      <w:lvlJc w:val="left"/>
      <w:pPr>
        <w:ind w:left="360" w:hanging="360"/>
      </w:pPr>
      <w:rPr>
        <w:rFonts w:hint="eastAsia"/>
        <w:b w:val="0"/>
        <w:u w:val="none"/>
      </w:rPr>
    </w:lvl>
    <w:lvl w:ilvl="2" w:tentative="0">
      <w:start w:val="1"/>
      <w:numFmt w:val="decimal"/>
      <w:lvlText w:val="（%3）"/>
      <w:lvlJc w:val="left"/>
      <w:pPr>
        <w:ind w:left="720" w:hanging="720"/>
      </w:pPr>
      <w:rPr>
        <w:rFonts w:hint="default"/>
        <w:u w:val="single"/>
      </w:rPr>
    </w:lvl>
    <w:lvl w:ilvl="3" w:tentative="0">
      <w:start w:val="1"/>
      <w:numFmt w:val="decimal"/>
      <w:isLgl/>
      <w:lvlText w:val="%1.%2.%3.%4"/>
      <w:lvlJc w:val="left"/>
      <w:pPr>
        <w:ind w:left="720" w:hanging="720"/>
      </w:pPr>
      <w:rPr>
        <w:rFonts w:hint="default"/>
        <w:u w:val="single"/>
      </w:rPr>
    </w:lvl>
    <w:lvl w:ilvl="4" w:tentative="0">
      <w:start w:val="1"/>
      <w:numFmt w:val="decimal"/>
      <w:isLgl/>
      <w:lvlText w:val="%1.%2.%3.%4.%5"/>
      <w:lvlJc w:val="left"/>
      <w:pPr>
        <w:ind w:left="1080" w:hanging="1080"/>
      </w:pPr>
      <w:rPr>
        <w:rFonts w:hint="default"/>
        <w:u w:val="single"/>
      </w:rPr>
    </w:lvl>
    <w:lvl w:ilvl="5" w:tentative="0">
      <w:start w:val="1"/>
      <w:numFmt w:val="decimal"/>
      <w:isLgl/>
      <w:lvlText w:val="%1.%2.%3.%4.%5.%6"/>
      <w:lvlJc w:val="left"/>
      <w:pPr>
        <w:ind w:left="1080" w:hanging="1080"/>
      </w:pPr>
      <w:rPr>
        <w:rFonts w:hint="default"/>
        <w:u w:val="single"/>
      </w:rPr>
    </w:lvl>
    <w:lvl w:ilvl="6" w:tentative="0">
      <w:start w:val="1"/>
      <w:numFmt w:val="decimal"/>
      <w:isLgl/>
      <w:lvlText w:val="%1.%2.%3.%4.%5.%6.%7"/>
      <w:lvlJc w:val="left"/>
      <w:pPr>
        <w:ind w:left="1440" w:hanging="1440"/>
      </w:pPr>
      <w:rPr>
        <w:rFonts w:hint="default"/>
        <w:u w:val="single"/>
      </w:rPr>
    </w:lvl>
    <w:lvl w:ilvl="7" w:tentative="0">
      <w:start w:val="1"/>
      <w:numFmt w:val="decimal"/>
      <w:isLgl/>
      <w:lvlText w:val="%1.%2.%3.%4.%5.%6.%7.%8"/>
      <w:lvlJc w:val="left"/>
      <w:pPr>
        <w:ind w:left="1440" w:hanging="1440"/>
      </w:pPr>
      <w:rPr>
        <w:rFonts w:hint="default"/>
        <w:u w:val="single"/>
      </w:rPr>
    </w:lvl>
    <w:lvl w:ilvl="8" w:tentative="0">
      <w:start w:val="1"/>
      <w:numFmt w:val="decimal"/>
      <w:isLgl/>
      <w:lvlText w:val="%1.%2.%3.%4.%5.%6.%7.%8.%9"/>
      <w:lvlJc w:val="left"/>
      <w:pPr>
        <w:ind w:left="1800" w:hanging="1800"/>
      </w:pPr>
      <w:rPr>
        <w:rFonts w:hint="default"/>
        <w:u w:val="single"/>
      </w:rPr>
    </w:lvl>
  </w:abstractNum>
  <w:num w:numId="1">
    <w:abstractNumId w:val="1"/>
  </w:num>
  <w:num w:numId="2">
    <w:abstractNumId w:val="0"/>
  </w:num>
  <w:num w:numId="3">
    <w:abstractNumId w:val="2"/>
  </w:num>
  <w:num w:numId="4">
    <w:abstractNumId w:val="20"/>
    <w:lvlOverride w:ilvl="0">
      <w:startOverride w:val="1"/>
    </w:lvlOverride>
  </w:num>
  <w:num w:numId="5">
    <w:abstractNumId w:val="6"/>
  </w:num>
  <w:num w:numId="6">
    <w:abstractNumId w:val="8"/>
  </w:num>
  <w:num w:numId="7">
    <w:abstractNumId w:val="18"/>
  </w:num>
  <w:num w:numId="8">
    <w:abstractNumId w:val="21"/>
  </w:num>
  <w:num w:numId="9">
    <w:abstractNumId w:val="22"/>
  </w:num>
  <w:num w:numId="10">
    <w:abstractNumId w:val="10"/>
  </w:num>
  <w:num w:numId="11">
    <w:abstractNumId w:val="9"/>
  </w:num>
  <w:num w:numId="12">
    <w:abstractNumId w:val="12"/>
  </w:num>
  <w:num w:numId="13">
    <w:abstractNumId w:val="11"/>
  </w:num>
  <w:num w:numId="14">
    <w:abstractNumId w:val="13"/>
  </w:num>
  <w:num w:numId="15">
    <w:abstractNumId w:val="5"/>
  </w:num>
  <w:num w:numId="16">
    <w:abstractNumId w:val="16"/>
  </w:num>
  <w:num w:numId="17">
    <w:abstractNumId w:val="4"/>
  </w:num>
  <w:num w:numId="18">
    <w:abstractNumId w:val="19"/>
  </w:num>
  <w:num w:numId="19">
    <w:abstractNumId w:val="7"/>
  </w:num>
  <w:num w:numId="20">
    <w:abstractNumId w:val="15"/>
  </w:num>
  <w:num w:numId="21">
    <w:abstractNumId w:val="17"/>
  </w:num>
  <w:num w:numId="22">
    <w:abstractNumId w:val="23"/>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53F8"/>
    <w:rsid w:val="00003458"/>
    <w:rsid w:val="00004B2C"/>
    <w:rsid w:val="00010D80"/>
    <w:rsid w:val="00012E98"/>
    <w:rsid w:val="000150AB"/>
    <w:rsid w:val="0001652D"/>
    <w:rsid w:val="00016B03"/>
    <w:rsid w:val="00017020"/>
    <w:rsid w:val="0001751F"/>
    <w:rsid w:val="00024AA3"/>
    <w:rsid w:val="00024CD8"/>
    <w:rsid w:val="00031E27"/>
    <w:rsid w:val="00031ECD"/>
    <w:rsid w:val="00033D70"/>
    <w:rsid w:val="000344EC"/>
    <w:rsid w:val="00035F82"/>
    <w:rsid w:val="000372F9"/>
    <w:rsid w:val="00043341"/>
    <w:rsid w:val="00050850"/>
    <w:rsid w:val="00051AAD"/>
    <w:rsid w:val="000521F2"/>
    <w:rsid w:val="000538BF"/>
    <w:rsid w:val="0005512E"/>
    <w:rsid w:val="00055A89"/>
    <w:rsid w:val="00055DC4"/>
    <w:rsid w:val="00057236"/>
    <w:rsid w:val="000600A5"/>
    <w:rsid w:val="00061C16"/>
    <w:rsid w:val="000623A1"/>
    <w:rsid w:val="00063CFB"/>
    <w:rsid w:val="00066987"/>
    <w:rsid w:val="0007153C"/>
    <w:rsid w:val="00071955"/>
    <w:rsid w:val="0007324A"/>
    <w:rsid w:val="00076542"/>
    <w:rsid w:val="00081978"/>
    <w:rsid w:val="00083225"/>
    <w:rsid w:val="00085130"/>
    <w:rsid w:val="00086BC7"/>
    <w:rsid w:val="00091441"/>
    <w:rsid w:val="000928C8"/>
    <w:rsid w:val="000939D1"/>
    <w:rsid w:val="00093AB8"/>
    <w:rsid w:val="000A10D6"/>
    <w:rsid w:val="000A276A"/>
    <w:rsid w:val="000A2E08"/>
    <w:rsid w:val="000A7ADD"/>
    <w:rsid w:val="000B7042"/>
    <w:rsid w:val="000C00D0"/>
    <w:rsid w:val="000C07E6"/>
    <w:rsid w:val="000C53A0"/>
    <w:rsid w:val="000C70EF"/>
    <w:rsid w:val="000D1B68"/>
    <w:rsid w:val="000D4689"/>
    <w:rsid w:val="000D7FD1"/>
    <w:rsid w:val="000E1DB1"/>
    <w:rsid w:val="000E2FAA"/>
    <w:rsid w:val="000E36BA"/>
    <w:rsid w:val="000E5495"/>
    <w:rsid w:val="000E6BA2"/>
    <w:rsid w:val="000E7928"/>
    <w:rsid w:val="000F2A13"/>
    <w:rsid w:val="000F2A42"/>
    <w:rsid w:val="000F2E43"/>
    <w:rsid w:val="000F36D9"/>
    <w:rsid w:val="001030A7"/>
    <w:rsid w:val="001055AE"/>
    <w:rsid w:val="00110998"/>
    <w:rsid w:val="00111D0C"/>
    <w:rsid w:val="0011305A"/>
    <w:rsid w:val="00113C55"/>
    <w:rsid w:val="0011416A"/>
    <w:rsid w:val="0011640B"/>
    <w:rsid w:val="00121260"/>
    <w:rsid w:val="001264A6"/>
    <w:rsid w:val="001364FE"/>
    <w:rsid w:val="0014005D"/>
    <w:rsid w:val="00140B5E"/>
    <w:rsid w:val="00143F72"/>
    <w:rsid w:val="00145046"/>
    <w:rsid w:val="001471CA"/>
    <w:rsid w:val="001475A3"/>
    <w:rsid w:val="0015187D"/>
    <w:rsid w:val="00156DDF"/>
    <w:rsid w:val="00162C6A"/>
    <w:rsid w:val="00163EF6"/>
    <w:rsid w:val="00164307"/>
    <w:rsid w:val="001652AA"/>
    <w:rsid w:val="00172685"/>
    <w:rsid w:val="00172DD5"/>
    <w:rsid w:val="00175E77"/>
    <w:rsid w:val="001829DB"/>
    <w:rsid w:val="001851ED"/>
    <w:rsid w:val="0018677B"/>
    <w:rsid w:val="0019396C"/>
    <w:rsid w:val="00195433"/>
    <w:rsid w:val="001959B7"/>
    <w:rsid w:val="00196795"/>
    <w:rsid w:val="001A0FF8"/>
    <w:rsid w:val="001A1660"/>
    <w:rsid w:val="001A25D9"/>
    <w:rsid w:val="001A2EF2"/>
    <w:rsid w:val="001A5471"/>
    <w:rsid w:val="001A6245"/>
    <w:rsid w:val="001A65C4"/>
    <w:rsid w:val="001B1FD8"/>
    <w:rsid w:val="001B5BFC"/>
    <w:rsid w:val="001B6341"/>
    <w:rsid w:val="001C0489"/>
    <w:rsid w:val="001C059C"/>
    <w:rsid w:val="001C174B"/>
    <w:rsid w:val="001C43C3"/>
    <w:rsid w:val="001C48E6"/>
    <w:rsid w:val="001C49DE"/>
    <w:rsid w:val="001C589B"/>
    <w:rsid w:val="001C623C"/>
    <w:rsid w:val="001C650D"/>
    <w:rsid w:val="001D5285"/>
    <w:rsid w:val="001D75B5"/>
    <w:rsid w:val="001E0D67"/>
    <w:rsid w:val="001E10AA"/>
    <w:rsid w:val="001E10DF"/>
    <w:rsid w:val="001E43C5"/>
    <w:rsid w:val="001E518E"/>
    <w:rsid w:val="001F0F89"/>
    <w:rsid w:val="001F1DF9"/>
    <w:rsid w:val="001F228E"/>
    <w:rsid w:val="001F67C6"/>
    <w:rsid w:val="001F7168"/>
    <w:rsid w:val="00200E93"/>
    <w:rsid w:val="00203B2E"/>
    <w:rsid w:val="00205C41"/>
    <w:rsid w:val="002067A2"/>
    <w:rsid w:val="00207D63"/>
    <w:rsid w:val="002109B4"/>
    <w:rsid w:val="00224A59"/>
    <w:rsid w:val="002467A9"/>
    <w:rsid w:val="0024715B"/>
    <w:rsid w:val="0024727C"/>
    <w:rsid w:val="00250015"/>
    <w:rsid w:val="002534D8"/>
    <w:rsid w:val="00253680"/>
    <w:rsid w:val="00254E57"/>
    <w:rsid w:val="002559B9"/>
    <w:rsid w:val="00263A90"/>
    <w:rsid w:val="0026444B"/>
    <w:rsid w:val="00265410"/>
    <w:rsid w:val="0026582A"/>
    <w:rsid w:val="00267B22"/>
    <w:rsid w:val="00270670"/>
    <w:rsid w:val="002741A7"/>
    <w:rsid w:val="002817D2"/>
    <w:rsid w:val="00281839"/>
    <w:rsid w:val="00281C37"/>
    <w:rsid w:val="00282340"/>
    <w:rsid w:val="00285D42"/>
    <w:rsid w:val="00292832"/>
    <w:rsid w:val="00292A48"/>
    <w:rsid w:val="00296046"/>
    <w:rsid w:val="002967A2"/>
    <w:rsid w:val="00297522"/>
    <w:rsid w:val="002A15D0"/>
    <w:rsid w:val="002A2930"/>
    <w:rsid w:val="002A2C88"/>
    <w:rsid w:val="002A5433"/>
    <w:rsid w:val="002A6AE0"/>
    <w:rsid w:val="002B0398"/>
    <w:rsid w:val="002C0936"/>
    <w:rsid w:val="002C44F3"/>
    <w:rsid w:val="002C6D00"/>
    <w:rsid w:val="002C700D"/>
    <w:rsid w:val="002C7751"/>
    <w:rsid w:val="002D1E8C"/>
    <w:rsid w:val="002D457D"/>
    <w:rsid w:val="002D58C5"/>
    <w:rsid w:val="002D6B10"/>
    <w:rsid w:val="002D7079"/>
    <w:rsid w:val="002E062C"/>
    <w:rsid w:val="002E1DDC"/>
    <w:rsid w:val="002E1FCD"/>
    <w:rsid w:val="002E32CE"/>
    <w:rsid w:val="002E343F"/>
    <w:rsid w:val="002E5B06"/>
    <w:rsid w:val="002E63AE"/>
    <w:rsid w:val="002E7F5E"/>
    <w:rsid w:val="002F0C54"/>
    <w:rsid w:val="002F0E25"/>
    <w:rsid w:val="002F0FBF"/>
    <w:rsid w:val="002F19C0"/>
    <w:rsid w:val="002F2AA8"/>
    <w:rsid w:val="002F3D16"/>
    <w:rsid w:val="002F46AD"/>
    <w:rsid w:val="002F6062"/>
    <w:rsid w:val="002F76B1"/>
    <w:rsid w:val="00301E74"/>
    <w:rsid w:val="00305B4F"/>
    <w:rsid w:val="00307413"/>
    <w:rsid w:val="00310F2B"/>
    <w:rsid w:val="003144F9"/>
    <w:rsid w:val="003151AA"/>
    <w:rsid w:val="00317788"/>
    <w:rsid w:val="0032341C"/>
    <w:rsid w:val="0032397A"/>
    <w:rsid w:val="003276B2"/>
    <w:rsid w:val="003305F6"/>
    <w:rsid w:val="00330EB2"/>
    <w:rsid w:val="00331463"/>
    <w:rsid w:val="003323A8"/>
    <w:rsid w:val="00332ED0"/>
    <w:rsid w:val="00333428"/>
    <w:rsid w:val="003348BE"/>
    <w:rsid w:val="00343A3C"/>
    <w:rsid w:val="00343FB6"/>
    <w:rsid w:val="003470D1"/>
    <w:rsid w:val="00353593"/>
    <w:rsid w:val="0035616C"/>
    <w:rsid w:val="0035731A"/>
    <w:rsid w:val="00361F3A"/>
    <w:rsid w:val="00362987"/>
    <w:rsid w:val="0036433A"/>
    <w:rsid w:val="00370A88"/>
    <w:rsid w:val="00370B3D"/>
    <w:rsid w:val="003747FE"/>
    <w:rsid w:val="00377193"/>
    <w:rsid w:val="00377814"/>
    <w:rsid w:val="003805C5"/>
    <w:rsid w:val="00383680"/>
    <w:rsid w:val="00383767"/>
    <w:rsid w:val="00385563"/>
    <w:rsid w:val="00387A0B"/>
    <w:rsid w:val="0039117E"/>
    <w:rsid w:val="003944E1"/>
    <w:rsid w:val="00395351"/>
    <w:rsid w:val="003A1F3B"/>
    <w:rsid w:val="003A6BDB"/>
    <w:rsid w:val="003B4623"/>
    <w:rsid w:val="003B64B3"/>
    <w:rsid w:val="003B6B40"/>
    <w:rsid w:val="003B7395"/>
    <w:rsid w:val="003C18BE"/>
    <w:rsid w:val="003C2DB7"/>
    <w:rsid w:val="003C37A9"/>
    <w:rsid w:val="003C6BE5"/>
    <w:rsid w:val="003D2C35"/>
    <w:rsid w:val="003D2F15"/>
    <w:rsid w:val="003D3858"/>
    <w:rsid w:val="003D427B"/>
    <w:rsid w:val="003D69D0"/>
    <w:rsid w:val="003E23EE"/>
    <w:rsid w:val="003E33B1"/>
    <w:rsid w:val="003E5578"/>
    <w:rsid w:val="003E5BFF"/>
    <w:rsid w:val="003E5E8D"/>
    <w:rsid w:val="003F0385"/>
    <w:rsid w:val="003F48B6"/>
    <w:rsid w:val="003F6A4B"/>
    <w:rsid w:val="004005EA"/>
    <w:rsid w:val="00400F39"/>
    <w:rsid w:val="00403145"/>
    <w:rsid w:val="00403D44"/>
    <w:rsid w:val="004050D2"/>
    <w:rsid w:val="0040612D"/>
    <w:rsid w:val="00406158"/>
    <w:rsid w:val="00406855"/>
    <w:rsid w:val="0040784E"/>
    <w:rsid w:val="00411045"/>
    <w:rsid w:val="0041372C"/>
    <w:rsid w:val="00417CC4"/>
    <w:rsid w:val="00424B02"/>
    <w:rsid w:val="00424EC1"/>
    <w:rsid w:val="004276FB"/>
    <w:rsid w:val="004277F0"/>
    <w:rsid w:val="0043157B"/>
    <w:rsid w:val="00433C07"/>
    <w:rsid w:val="00437D24"/>
    <w:rsid w:val="00444448"/>
    <w:rsid w:val="00445F5E"/>
    <w:rsid w:val="004474AA"/>
    <w:rsid w:val="004515D8"/>
    <w:rsid w:val="0045361B"/>
    <w:rsid w:val="004549AF"/>
    <w:rsid w:val="00455DE0"/>
    <w:rsid w:val="00457978"/>
    <w:rsid w:val="0046004E"/>
    <w:rsid w:val="00460F72"/>
    <w:rsid w:val="00461BF8"/>
    <w:rsid w:val="00462EBE"/>
    <w:rsid w:val="00465608"/>
    <w:rsid w:val="0046790F"/>
    <w:rsid w:val="00470E6D"/>
    <w:rsid w:val="00471E05"/>
    <w:rsid w:val="00472135"/>
    <w:rsid w:val="004739BB"/>
    <w:rsid w:val="00474F5E"/>
    <w:rsid w:val="0048011F"/>
    <w:rsid w:val="00481113"/>
    <w:rsid w:val="00481A77"/>
    <w:rsid w:val="00481D21"/>
    <w:rsid w:val="0048422D"/>
    <w:rsid w:val="0049554B"/>
    <w:rsid w:val="004A08B7"/>
    <w:rsid w:val="004A7060"/>
    <w:rsid w:val="004A76AA"/>
    <w:rsid w:val="004B29CC"/>
    <w:rsid w:val="004B6856"/>
    <w:rsid w:val="004B6FBF"/>
    <w:rsid w:val="004B75DF"/>
    <w:rsid w:val="004B7C98"/>
    <w:rsid w:val="004C0E27"/>
    <w:rsid w:val="004C187B"/>
    <w:rsid w:val="004C5A7B"/>
    <w:rsid w:val="004C7F01"/>
    <w:rsid w:val="004D2CF2"/>
    <w:rsid w:val="004D3D51"/>
    <w:rsid w:val="004D594F"/>
    <w:rsid w:val="004D78B3"/>
    <w:rsid w:val="004E1C74"/>
    <w:rsid w:val="004E1D22"/>
    <w:rsid w:val="004E1EF4"/>
    <w:rsid w:val="004E6744"/>
    <w:rsid w:val="004E7541"/>
    <w:rsid w:val="004F1344"/>
    <w:rsid w:val="004F3450"/>
    <w:rsid w:val="00500608"/>
    <w:rsid w:val="00500F83"/>
    <w:rsid w:val="00501D29"/>
    <w:rsid w:val="005039C4"/>
    <w:rsid w:val="00504E1F"/>
    <w:rsid w:val="00505656"/>
    <w:rsid w:val="005060F9"/>
    <w:rsid w:val="0050752E"/>
    <w:rsid w:val="00514E56"/>
    <w:rsid w:val="00517EF6"/>
    <w:rsid w:val="00522E1C"/>
    <w:rsid w:val="0052309A"/>
    <w:rsid w:val="005230EA"/>
    <w:rsid w:val="005256A1"/>
    <w:rsid w:val="00526199"/>
    <w:rsid w:val="00531CD5"/>
    <w:rsid w:val="00535C3E"/>
    <w:rsid w:val="00536307"/>
    <w:rsid w:val="00536397"/>
    <w:rsid w:val="005374D6"/>
    <w:rsid w:val="0054747A"/>
    <w:rsid w:val="00550986"/>
    <w:rsid w:val="00552B3B"/>
    <w:rsid w:val="0055613F"/>
    <w:rsid w:val="005607B4"/>
    <w:rsid w:val="00563BB2"/>
    <w:rsid w:val="00564813"/>
    <w:rsid w:val="00567039"/>
    <w:rsid w:val="00574BDF"/>
    <w:rsid w:val="005751F4"/>
    <w:rsid w:val="005753B3"/>
    <w:rsid w:val="00577BC1"/>
    <w:rsid w:val="0058425E"/>
    <w:rsid w:val="0058485A"/>
    <w:rsid w:val="005849AB"/>
    <w:rsid w:val="005863CF"/>
    <w:rsid w:val="00586DF2"/>
    <w:rsid w:val="00586FDF"/>
    <w:rsid w:val="0058772A"/>
    <w:rsid w:val="00587C41"/>
    <w:rsid w:val="00593026"/>
    <w:rsid w:val="0059574B"/>
    <w:rsid w:val="0059722F"/>
    <w:rsid w:val="005A109A"/>
    <w:rsid w:val="005A2FEF"/>
    <w:rsid w:val="005A4187"/>
    <w:rsid w:val="005A52A5"/>
    <w:rsid w:val="005B130C"/>
    <w:rsid w:val="005B204D"/>
    <w:rsid w:val="005B2C8E"/>
    <w:rsid w:val="005B52F0"/>
    <w:rsid w:val="005B765C"/>
    <w:rsid w:val="005C33A4"/>
    <w:rsid w:val="005C3692"/>
    <w:rsid w:val="005C4A21"/>
    <w:rsid w:val="005C7707"/>
    <w:rsid w:val="005C7917"/>
    <w:rsid w:val="005D0943"/>
    <w:rsid w:val="005D1F5C"/>
    <w:rsid w:val="005D2188"/>
    <w:rsid w:val="005D290D"/>
    <w:rsid w:val="005D7649"/>
    <w:rsid w:val="005D7D1E"/>
    <w:rsid w:val="005E3375"/>
    <w:rsid w:val="005E3F54"/>
    <w:rsid w:val="005E57B5"/>
    <w:rsid w:val="005E6524"/>
    <w:rsid w:val="005E6BD6"/>
    <w:rsid w:val="005F1881"/>
    <w:rsid w:val="005F6136"/>
    <w:rsid w:val="0060198E"/>
    <w:rsid w:val="00604737"/>
    <w:rsid w:val="00605EFB"/>
    <w:rsid w:val="0060623C"/>
    <w:rsid w:val="00606827"/>
    <w:rsid w:val="0061039E"/>
    <w:rsid w:val="00613D2E"/>
    <w:rsid w:val="00613DF1"/>
    <w:rsid w:val="00613E06"/>
    <w:rsid w:val="00615441"/>
    <w:rsid w:val="00615804"/>
    <w:rsid w:val="00615A58"/>
    <w:rsid w:val="00617ABA"/>
    <w:rsid w:val="00620872"/>
    <w:rsid w:val="00621935"/>
    <w:rsid w:val="00623F63"/>
    <w:rsid w:val="00626DDF"/>
    <w:rsid w:val="00631121"/>
    <w:rsid w:val="006326DB"/>
    <w:rsid w:val="00632BF5"/>
    <w:rsid w:val="0063710B"/>
    <w:rsid w:val="00641974"/>
    <w:rsid w:val="00641DD5"/>
    <w:rsid w:val="00646AD4"/>
    <w:rsid w:val="00654A3C"/>
    <w:rsid w:val="006579B5"/>
    <w:rsid w:val="00657EFB"/>
    <w:rsid w:val="006603C7"/>
    <w:rsid w:val="00675A82"/>
    <w:rsid w:val="00675F17"/>
    <w:rsid w:val="006762D6"/>
    <w:rsid w:val="006810BE"/>
    <w:rsid w:val="006820FD"/>
    <w:rsid w:val="006837E6"/>
    <w:rsid w:val="00686D65"/>
    <w:rsid w:val="006906EE"/>
    <w:rsid w:val="0069266A"/>
    <w:rsid w:val="00693D24"/>
    <w:rsid w:val="006A193C"/>
    <w:rsid w:val="006A507D"/>
    <w:rsid w:val="006A5568"/>
    <w:rsid w:val="006A5935"/>
    <w:rsid w:val="006B0D43"/>
    <w:rsid w:val="006B37EC"/>
    <w:rsid w:val="006B4A0B"/>
    <w:rsid w:val="006B6612"/>
    <w:rsid w:val="006C28D6"/>
    <w:rsid w:val="006C7E6F"/>
    <w:rsid w:val="006D0BAD"/>
    <w:rsid w:val="006E35F4"/>
    <w:rsid w:val="006E4CC7"/>
    <w:rsid w:val="006E7516"/>
    <w:rsid w:val="006F2B4B"/>
    <w:rsid w:val="006F2D6E"/>
    <w:rsid w:val="006F664D"/>
    <w:rsid w:val="007011F4"/>
    <w:rsid w:val="007049AF"/>
    <w:rsid w:val="00704D7F"/>
    <w:rsid w:val="0071016E"/>
    <w:rsid w:val="00711D0E"/>
    <w:rsid w:val="00713DAF"/>
    <w:rsid w:val="00722CDC"/>
    <w:rsid w:val="0073248C"/>
    <w:rsid w:val="00732F59"/>
    <w:rsid w:val="00735C86"/>
    <w:rsid w:val="00736340"/>
    <w:rsid w:val="00736ECA"/>
    <w:rsid w:val="00741509"/>
    <w:rsid w:val="007553F8"/>
    <w:rsid w:val="007568AE"/>
    <w:rsid w:val="007629EA"/>
    <w:rsid w:val="00766434"/>
    <w:rsid w:val="0077065E"/>
    <w:rsid w:val="007807BB"/>
    <w:rsid w:val="0078313E"/>
    <w:rsid w:val="00785B74"/>
    <w:rsid w:val="007860A5"/>
    <w:rsid w:val="00786311"/>
    <w:rsid w:val="00786C49"/>
    <w:rsid w:val="00790703"/>
    <w:rsid w:val="007920D3"/>
    <w:rsid w:val="00794D8F"/>
    <w:rsid w:val="007953CD"/>
    <w:rsid w:val="00796A0D"/>
    <w:rsid w:val="007A0119"/>
    <w:rsid w:val="007A6DE9"/>
    <w:rsid w:val="007A7202"/>
    <w:rsid w:val="007A7BD9"/>
    <w:rsid w:val="007A7D4C"/>
    <w:rsid w:val="007B0242"/>
    <w:rsid w:val="007B1318"/>
    <w:rsid w:val="007B171D"/>
    <w:rsid w:val="007B3FC4"/>
    <w:rsid w:val="007B50DB"/>
    <w:rsid w:val="007C0B75"/>
    <w:rsid w:val="007C2B67"/>
    <w:rsid w:val="007C6924"/>
    <w:rsid w:val="007C7DA2"/>
    <w:rsid w:val="007D37C5"/>
    <w:rsid w:val="007D77F2"/>
    <w:rsid w:val="007E1AA2"/>
    <w:rsid w:val="007E6251"/>
    <w:rsid w:val="007F4D99"/>
    <w:rsid w:val="007F5C22"/>
    <w:rsid w:val="007F69AE"/>
    <w:rsid w:val="007F789A"/>
    <w:rsid w:val="008022F2"/>
    <w:rsid w:val="0080385E"/>
    <w:rsid w:val="00803896"/>
    <w:rsid w:val="00803949"/>
    <w:rsid w:val="00806C6A"/>
    <w:rsid w:val="0081129E"/>
    <w:rsid w:val="00815956"/>
    <w:rsid w:val="00817C56"/>
    <w:rsid w:val="00820781"/>
    <w:rsid w:val="0082256F"/>
    <w:rsid w:val="008234DA"/>
    <w:rsid w:val="00823948"/>
    <w:rsid w:val="0083439A"/>
    <w:rsid w:val="008356C8"/>
    <w:rsid w:val="00835B8C"/>
    <w:rsid w:val="00840DA4"/>
    <w:rsid w:val="0084366A"/>
    <w:rsid w:val="00845ADF"/>
    <w:rsid w:val="0085085B"/>
    <w:rsid w:val="00851F33"/>
    <w:rsid w:val="00852DD6"/>
    <w:rsid w:val="00855E2B"/>
    <w:rsid w:val="008618C3"/>
    <w:rsid w:val="00862E06"/>
    <w:rsid w:val="00863215"/>
    <w:rsid w:val="00863252"/>
    <w:rsid w:val="00867B10"/>
    <w:rsid w:val="00871008"/>
    <w:rsid w:val="00877557"/>
    <w:rsid w:val="00884771"/>
    <w:rsid w:val="00890510"/>
    <w:rsid w:val="008919EE"/>
    <w:rsid w:val="0089391E"/>
    <w:rsid w:val="00895A93"/>
    <w:rsid w:val="008963CA"/>
    <w:rsid w:val="008968C8"/>
    <w:rsid w:val="008A0078"/>
    <w:rsid w:val="008A0203"/>
    <w:rsid w:val="008A2BEC"/>
    <w:rsid w:val="008A42C8"/>
    <w:rsid w:val="008A4CE2"/>
    <w:rsid w:val="008A6611"/>
    <w:rsid w:val="008B15D0"/>
    <w:rsid w:val="008B52F7"/>
    <w:rsid w:val="008B5367"/>
    <w:rsid w:val="008B5D2B"/>
    <w:rsid w:val="008B6F6A"/>
    <w:rsid w:val="008B790A"/>
    <w:rsid w:val="008C28ED"/>
    <w:rsid w:val="008C5706"/>
    <w:rsid w:val="008C5D19"/>
    <w:rsid w:val="008D1217"/>
    <w:rsid w:val="008D6E5A"/>
    <w:rsid w:val="008E5146"/>
    <w:rsid w:val="008E5594"/>
    <w:rsid w:val="008F2A39"/>
    <w:rsid w:val="008F3063"/>
    <w:rsid w:val="008F63D3"/>
    <w:rsid w:val="008F7DFB"/>
    <w:rsid w:val="00900192"/>
    <w:rsid w:val="009002EF"/>
    <w:rsid w:val="00910198"/>
    <w:rsid w:val="0091028D"/>
    <w:rsid w:val="009113AF"/>
    <w:rsid w:val="00912BD2"/>
    <w:rsid w:val="00913C35"/>
    <w:rsid w:val="00914316"/>
    <w:rsid w:val="00914E77"/>
    <w:rsid w:val="00915B70"/>
    <w:rsid w:val="00916EBF"/>
    <w:rsid w:val="00922849"/>
    <w:rsid w:val="00923166"/>
    <w:rsid w:val="00923A96"/>
    <w:rsid w:val="009265F0"/>
    <w:rsid w:val="00930125"/>
    <w:rsid w:val="00931894"/>
    <w:rsid w:val="00935F9F"/>
    <w:rsid w:val="00940008"/>
    <w:rsid w:val="00941A08"/>
    <w:rsid w:val="00942FF2"/>
    <w:rsid w:val="009431D8"/>
    <w:rsid w:val="00945845"/>
    <w:rsid w:val="00945D7A"/>
    <w:rsid w:val="0095095A"/>
    <w:rsid w:val="00951686"/>
    <w:rsid w:val="0095180C"/>
    <w:rsid w:val="00955065"/>
    <w:rsid w:val="009567A8"/>
    <w:rsid w:val="00957D75"/>
    <w:rsid w:val="00962A44"/>
    <w:rsid w:val="00963DB3"/>
    <w:rsid w:val="009744C1"/>
    <w:rsid w:val="009747C3"/>
    <w:rsid w:val="0098115A"/>
    <w:rsid w:val="0098228A"/>
    <w:rsid w:val="00982828"/>
    <w:rsid w:val="0098307B"/>
    <w:rsid w:val="00983334"/>
    <w:rsid w:val="00987CFF"/>
    <w:rsid w:val="009927D3"/>
    <w:rsid w:val="009937BF"/>
    <w:rsid w:val="00994EC3"/>
    <w:rsid w:val="009978A1"/>
    <w:rsid w:val="009A0905"/>
    <w:rsid w:val="009A156E"/>
    <w:rsid w:val="009A3D62"/>
    <w:rsid w:val="009A434A"/>
    <w:rsid w:val="009A66F4"/>
    <w:rsid w:val="009A7F91"/>
    <w:rsid w:val="009B00B4"/>
    <w:rsid w:val="009B2452"/>
    <w:rsid w:val="009B4465"/>
    <w:rsid w:val="009B45B1"/>
    <w:rsid w:val="009B5421"/>
    <w:rsid w:val="009C1C31"/>
    <w:rsid w:val="009C3BE5"/>
    <w:rsid w:val="009C7598"/>
    <w:rsid w:val="009D7595"/>
    <w:rsid w:val="009D77CD"/>
    <w:rsid w:val="009D7B8D"/>
    <w:rsid w:val="009E0C25"/>
    <w:rsid w:val="009E2650"/>
    <w:rsid w:val="009E4F4F"/>
    <w:rsid w:val="009E70AD"/>
    <w:rsid w:val="009F060F"/>
    <w:rsid w:val="00A01711"/>
    <w:rsid w:val="00A04F17"/>
    <w:rsid w:val="00A07C5B"/>
    <w:rsid w:val="00A10C67"/>
    <w:rsid w:val="00A12336"/>
    <w:rsid w:val="00A130B1"/>
    <w:rsid w:val="00A16ECC"/>
    <w:rsid w:val="00A172E3"/>
    <w:rsid w:val="00A2017A"/>
    <w:rsid w:val="00A21C33"/>
    <w:rsid w:val="00A252A9"/>
    <w:rsid w:val="00A25339"/>
    <w:rsid w:val="00A30281"/>
    <w:rsid w:val="00A30478"/>
    <w:rsid w:val="00A3547F"/>
    <w:rsid w:val="00A41423"/>
    <w:rsid w:val="00A44B4C"/>
    <w:rsid w:val="00A4510D"/>
    <w:rsid w:val="00A5079E"/>
    <w:rsid w:val="00A50B19"/>
    <w:rsid w:val="00A53265"/>
    <w:rsid w:val="00A54947"/>
    <w:rsid w:val="00A61398"/>
    <w:rsid w:val="00A63EC9"/>
    <w:rsid w:val="00A63F1A"/>
    <w:rsid w:val="00A6751A"/>
    <w:rsid w:val="00A71DFA"/>
    <w:rsid w:val="00A74042"/>
    <w:rsid w:val="00A75C33"/>
    <w:rsid w:val="00A81CD7"/>
    <w:rsid w:val="00A83474"/>
    <w:rsid w:val="00A83485"/>
    <w:rsid w:val="00A846C1"/>
    <w:rsid w:val="00A846CD"/>
    <w:rsid w:val="00A93B81"/>
    <w:rsid w:val="00A961B9"/>
    <w:rsid w:val="00AA0500"/>
    <w:rsid w:val="00AA163A"/>
    <w:rsid w:val="00AA2B29"/>
    <w:rsid w:val="00AA5DC4"/>
    <w:rsid w:val="00AB2931"/>
    <w:rsid w:val="00AB3EB7"/>
    <w:rsid w:val="00AB79E4"/>
    <w:rsid w:val="00AC0084"/>
    <w:rsid w:val="00AC0D4B"/>
    <w:rsid w:val="00AC20F2"/>
    <w:rsid w:val="00AC3BAE"/>
    <w:rsid w:val="00AD1AE6"/>
    <w:rsid w:val="00AD1D5B"/>
    <w:rsid w:val="00AD5212"/>
    <w:rsid w:val="00AE2F56"/>
    <w:rsid w:val="00AE7CEC"/>
    <w:rsid w:val="00AF07C8"/>
    <w:rsid w:val="00AF0F29"/>
    <w:rsid w:val="00AF2135"/>
    <w:rsid w:val="00AF2BAD"/>
    <w:rsid w:val="00AF2D75"/>
    <w:rsid w:val="00AF311B"/>
    <w:rsid w:val="00AF6075"/>
    <w:rsid w:val="00AF6780"/>
    <w:rsid w:val="00AF6B6E"/>
    <w:rsid w:val="00B006D5"/>
    <w:rsid w:val="00B01DAA"/>
    <w:rsid w:val="00B064DC"/>
    <w:rsid w:val="00B11CCE"/>
    <w:rsid w:val="00B1414A"/>
    <w:rsid w:val="00B1467B"/>
    <w:rsid w:val="00B15911"/>
    <w:rsid w:val="00B20787"/>
    <w:rsid w:val="00B2232A"/>
    <w:rsid w:val="00B22DAD"/>
    <w:rsid w:val="00B275DF"/>
    <w:rsid w:val="00B318CA"/>
    <w:rsid w:val="00B46D27"/>
    <w:rsid w:val="00B52931"/>
    <w:rsid w:val="00B530C6"/>
    <w:rsid w:val="00B54533"/>
    <w:rsid w:val="00B5481D"/>
    <w:rsid w:val="00B554EB"/>
    <w:rsid w:val="00B64082"/>
    <w:rsid w:val="00B6570C"/>
    <w:rsid w:val="00B66F84"/>
    <w:rsid w:val="00B6796E"/>
    <w:rsid w:val="00B705E9"/>
    <w:rsid w:val="00B71089"/>
    <w:rsid w:val="00B73486"/>
    <w:rsid w:val="00B77BAE"/>
    <w:rsid w:val="00B80B8B"/>
    <w:rsid w:val="00B81EAD"/>
    <w:rsid w:val="00B82B11"/>
    <w:rsid w:val="00B83D97"/>
    <w:rsid w:val="00B86854"/>
    <w:rsid w:val="00B97117"/>
    <w:rsid w:val="00BA1276"/>
    <w:rsid w:val="00BA4000"/>
    <w:rsid w:val="00BA6274"/>
    <w:rsid w:val="00BA79AE"/>
    <w:rsid w:val="00BA7C0D"/>
    <w:rsid w:val="00BB7217"/>
    <w:rsid w:val="00BB7BF1"/>
    <w:rsid w:val="00BB7D26"/>
    <w:rsid w:val="00BC03ED"/>
    <w:rsid w:val="00BC298F"/>
    <w:rsid w:val="00BC556A"/>
    <w:rsid w:val="00BD13B4"/>
    <w:rsid w:val="00BD3DF4"/>
    <w:rsid w:val="00BD47DD"/>
    <w:rsid w:val="00BD57F8"/>
    <w:rsid w:val="00BD5E3F"/>
    <w:rsid w:val="00BD6377"/>
    <w:rsid w:val="00BD6ABA"/>
    <w:rsid w:val="00BE0C1B"/>
    <w:rsid w:val="00BE0E82"/>
    <w:rsid w:val="00BE25CA"/>
    <w:rsid w:val="00BE3994"/>
    <w:rsid w:val="00BE45C0"/>
    <w:rsid w:val="00BE77C2"/>
    <w:rsid w:val="00BE7B99"/>
    <w:rsid w:val="00BF1B6D"/>
    <w:rsid w:val="00BF4B2A"/>
    <w:rsid w:val="00BF79CB"/>
    <w:rsid w:val="00C01A8F"/>
    <w:rsid w:val="00C0239E"/>
    <w:rsid w:val="00C055E8"/>
    <w:rsid w:val="00C06D15"/>
    <w:rsid w:val="00C11122"/>
    <w:rsid w:val="00C11412"/>
    <w:rsid w:val="00C15B5B"/>
    <w:rsid w:val="00C20B20"/>
    <w:rsid w:val="00C21D29"/>
    <w:rsid w:val="00C22ABC"/>
    <w:rsid w:val="00C2434F"/>
    <w:rsid w:val="00C26294"/>
    <w:rsid w:val="00C279FC"/>
    <w:rsid w:val="00C301FC"/>
    <w:rsid w:val="00C304F5"/>
    <w:rsid w:val="00C4064F"/>
    <w:rsid w:val="00C42E36"/>
    <w:rsid w:val="00C43112"/>
    <w:rsid w:val="00C46CD1"/>
    <w:rsid w:val="00C4771A"/>
    <w:rsid w:val="00C506C4"/>
    <w:rsid w:val="00C552F4"/>
    <w:rsid w:val="00C56FF9"/>
    <w:rsid w:val="00C61590"/>
    <w:rsid w:val="00C64561"/>
    <w:rsid w:val="00C71A18"/>
    <w:rsid w:val="00C75B10"/>
    <w:rsid w:val="00C80916"/>
    <w:rsid w:val="00C81942"/>
    <w:rsid w:val="00C81EBD"/>
    <w:rsid w:val="00C831B8"/>
    <w:rsid w:val="00C8364E"/>
    <w:rsid w:val="00C83BC2"/>
    <w:rsid w:val="00C83FEC"/>
    <w:rsid w:val="00C861B1"/>
    <w:rsid w:val="00C863E9"/>
    <w:rsid w:val="00C91BE4"/>
    <w:rsid w:val="00C927DB"/>
    <w:rsid w:val="00CA087A"/>
    <w:rsid w:val="00CA3338"/>
    <w:rsid w:val="00CA401A"/>
    <w:rsid w:val="00CA5A3E"/>
    <w:rsid w:val="00CA6642"/>
    <w:rsid w:val="00CA6F81"/>
    <w:rsid w:val="00CA745F"/>
    <w:rsid w:val="00CA7720"/>
    <w:rsid w:val="00CB03C6"/>
    <w:rsid w:val="00CB0BF0"/>
    <w:rsid w:val="00CB2F2E"/>
    <w:rsid w:val="00CB5664"/>
    <w:rsid w:val="00CB7451"/>
    <w:rsid w:val="00CC1705"/>
    <w:rsid w:val="00CC531C"/>
    <w:rsid w:val="00CD045F"/>
    <w:rsid w:val="00CD3737"/>
    <w:rsid w:val="00CD5A72"/>
    <w:rsid w:val="00CD6851"/>
    <w:rsid w:val="00CE10F2"/>
    <w:rsid w:val="00CE2FD0"/>
    <w:rsid w:val="00CF160C"/>
    <w:rsid w:val="00CF3105"/>
    <w:rsid w:val="00CF312E"/>
    <w:rsid w:val="00CF3706"/>
    <w:rsid w:val="00CF5ECE"/>
    <w:rsid w:val="00D05057"/>
    <w:rsid w:val="00D06FE0"/>
    <w:rsid w:val="00D1433E"/>
    <w:rsid w:val="00D15DE4"/>
    <w:rsid w:val="00D17640"/>
    <w:rsid w:val="00D202B8"/>
    <w:rsid w:val="00D2057F"/>
    <w:rsid w:val="00D21714"/>
    <w:rsid w:val="00D21983"/>
    <w:rsid w:val="00D22EF4"/>
    <w:rsid w:val="00D2429A"/>
    <w:rsid w:val="00D273D0"/>
    <w:rsid w:val="00D33BD0"/>
    <w:rsid w:val="00D34BA6"/>
    <w:rsid w:val="00D363AE"/>
    <w:rsid w:val="00D37730"/>
    <w:rsid w:val="00D44529"/>
    <w:rsid w:val="00D44DA1"/>
    <w:rsid w:val="00D454B4"/>
    <w:rsid w:val="00D53F87"/>
    <w:rsid w:val="00D55955"/>
    <w:rsid w:val="00D56B42"/>
    <w:rsid w:val="00D56EAF"/>
    <w:rsid w:val="00D6470D"/>
    <w:rsid w:val="00D64AFB"/>
    <w:rsid w:val="00D6545A"/>
    <w:rsid w:val="00D71E22"/>
    <w:rsid w:val="00D72450"/>
    <w:rsid w:val="00D72B93"/>
    <w:rsid w:val="00D7346A"/>
    <w:rsid w:val="00D75E78"/>
    <w:rsid w:val="00D76148"/>
    <w:rsid w:val="00D77894"/>
    <w:rsid w:val="00D806D0"/>
    <w:rsid w:val="00D85A39"/>
    <w:rsid w:val="00D85A8C"/>
    <w:rsid w:val="00D86AE2"/>
    <w:rsid w:val="00D87382"/>
    <w:rsid w:val="00D87D46"/>
    <w:rsid w:val="00D911B8"/>
    <w:rsid w:val="00D92F40"/>
    <w:rsid w:val="00D9674B"/>
    <w:rsid w:val="00DA03E2"/>
    <w:rsid w:val="00DA1435"/>
    <w:rsid w:val="00DA34AA"/>
    <w:rsid w:val="00DA743C"/>
    <w:rsid w:val="00DB6ABE"/>
    <w:rsid w:val="00DB6B46"/>
    <w:rsid w:val="00DB77FF"/>
    <w:rsid w:val="00DC0320"/>
    <w:rsid w:val="00DC223B"/>
    <w:rsid w:val="00DC2BC1"/>
    <w:rsid w:val="00DC46D1"/>
    <w:rsid w:val="00DC65D7"/>
    <w:rsid w:val="00DD373F"/>
    <w:rsid w:val="00DD4C7E"/>
    <w:rsid w:val="00DE3302"/>
    <w:rsid w:val="00DE3CF4"/>
    <w:rsid w:val="00DE4A7C"/>
    <w:rsid w:val="00DF1091"/>
    <w:rsid w:val="00DF1618"/>
    <w:rsid w:val="00DF447D"/>
    <w:rsid w:val="00DF549E"/>
    <w:rsid w:val="00DF5A3E"/>
    <w:rsid w:val="00DF7FA1"/>
    <w:rsid w:val="00E00C38"/>
    <w:rsid w:val="00E00CD7"/>
    <w:rsid w:val="00E011C7"/>
    <w:rsid w:val="00E01417"/>
    <w:rsid w:val="00E01494"/>
    <w:rsid w:val="00E01544"/>
    <w:rsid w:val="00E05FD4"/>
    <w:rsid w:val="00E06B6C"/>
    <w:rsid w:val="00E11039"/>
    <w:rsid w:val="00E11FC6"/>
    <w:rsid w:val="00E13C9C"/>
    <w:rsid w:val="00E14B0E"/>
    <w:rsid w:val="00E15776"/>
    <w:rsid w:val="00E2050C"/>
    <w:rsid w:val="00E212A8"/>
    <w:rsid w:val="00E217C2"/>
    <w:rsid w:val="00E21EF4"/>
    <w:rsid w:val="00E23668"/>
    <w:rsid w:val="00E315F4"/>
    <w:rsid w:val="00E323E0"/>
    <w:rsid w:val="00E34326"/>
    <w:rsid w:val="00E4147A"/>
    <w:rsid w:val="00E432EC"/>
    <w:rsid w:val="00E46F93"/>
    <w:rsid w:val="00E4766A"/>
    <w:rsid w:val="00E47DC3"/>
    <w:rsid w:val="00E504D0"/>
    <w:rsid w:val="00E50790"/>
    <w:rsid w:val="00E523A5"/>
    <w:rsid w:val="00E54836"/>
    <w:rsid w:val="00E61DE3"/>
    <w:rsid w:val="00E64053"/>
    <w:rsid w:val="00E653F0"/>
    <w:rsid w:val="00E70B7A"/>
    <w:rsid w:val="00E72B9E"/>
    <w:rsid w:val="00E73C93"/>
    <w:rsid w:val="00E77039"/>
    <w:rsid w:val="00E84AC4"/>
    <w:rsid w:val="00E852E9"/>
    <w:rsid w:val="00E877A1"/>
    <w:rsid w:val="00E87FCB"/>
    <w:rsid w:val="00E9338D"/>
    <w:rsid w:val="00E94A4E"/>
    <w:rsid w:val="00E956CE"/>
    <w:rsid w:val="00E9726A"/>
    <w:rsid w:val="00EA19D9"/>
    <w:rsid w:val="00EA6689"/>
    <w:rsid w:val="00EA7A9C"/>
    <w:rsid w:val="00EB1218"/>
    <w:rsid w:val="00EB1393"/>
    <w:rsid w:val="00EB2146"/>
    <w:rsid w:val="00EC383E"/>
    <w:rsid w:val="00EC6596"/>
    <w:rsid w:val="00ED02A5"/>
    <w:rsid w:val="00ED382E"/>
    <w:rsid w:val="00ED56E2"/>
    <w:rsid w:val="00ED5785"/>
    <w:rsid w:val="00EE5FDD"/>
    <w:rsid w:val="00EE609D"/>
    <w:rsid w:val="00EE651F"/>
    <w:rsid w:val="00EE6D2E"/>
    <w:rsid w:val="00EF24E1"/>
    <w:rsid w:val="00EF2527"/>
    <w:rsid w:val="00F028F9"/>
    <w:rsid w:val="00F03B5E"/>
    <w:rsid w:val="00F03CF7"/>
    <w:rsid w:val="00F04500"/>
    <w:rsid w:val="00F04AB1"/>
    <w:rsid w:val="00F12ADA"/>
    <w:rsid w:val="00F14D61"/>
    <w:rsid w:val="00F1610F"/>
    <w:rsid w:val="00F20111"/>
    <w:rsid w:val="00F235C3"/>
    <w:rsid w:val="00F23E90"/>
    <w:rsid w:val="00F256C8"/>
    <w:rsid w:val="00F2634C"/>
    <w:rsid w:val="00F267FF"/>
    <w:rsid w:val="00F310F4"/>
    <w:rsid w:val="00F3183D"/>
    <w:rsid w:val="00F368AF"/>
    <w:rsid w:val="00F403D5"/>
    <w:rsid w:val="00F40FA0"/>
    <w:rsid w:val="00F4145A"/>
    <w:rsid w:val="00F4253C"/>
    <w:rsid w:val="00F440F7"/>
    <w:rsid w:val="00F44AE8"/>
    <w:rsid w:val="00F46DDF"/>
    <w:rsid w:val="00F536EC"/>
    <w:rsid w:val="00F55098"/>
    <w:rsid w:val="00F56EE1"/>
    <w:rsid w:val="00F60BAA"/>
    <w:rsid w:val="00F63677"/>
    <w:rsid w:val="00F6697F"/>
    <w:rsid w:val="00F702DC"/>
    <w:rsid w:val="00F709DC"/>
    <w:rsid w:val="00F70CE6"/>
    <w:rsid w:val="00F723A6"/>
    <w:rsid w:val="00F739A2"/>
    <w:rsid w:val="00F7434D"/>
    <w:rsid w:val="00F7709D"/>
    <w:rsid w:val="00F82C35"/>
    <w:rsid w:val="00F83842"/>
    <w:rsid w:val="00F8521C"/>
    <w:rsid w:val="00F85A73"/>
    <w:rsid w:val="00F90CB2"/>
    <w:rsid w:val="00F92968"/>
    <w:rsid w:val="00F92979"/>
    <w:rsid w:val="00F932A2"/>
    <w:rsid w:val="00FA2141"/>
    <w:rsid w:val="00FA43EF"/>
    <w:rsid w:val="00FA4C7A"/>
    <w:rsid w:val="00FA4DD8"/>
    <w:rsid w:val="00FA74E1"/>
    <w:rsid w:val="00FB021B"/>
    <w:rsid w:val="00FB0482"/>
    <w:rsid w:val="00FB2401"/>
    <w:rsid w:val="00FC6015"/>
    <w:rsid w:val="00FC6EF8"/>
    <w:rsid w:val="00FD1E26"/>
    <w:rsid w:val="00FD25FF"/>
    <w:rsid w:val="00FD426B"/>
    <w:rsid w:val="00FD5945"/>
    <w:rsid w:val="00FE0132"/>
    <w:rsid w:val="00FE31D2"/>
    <w:rsid w:val="00FE349C"/>
    <w:rsid w:val="00FE3F66"/>
    <w:rsid w:val="00FE5158"/>
    <w:rsid w:val="00FF0EB3"/>
    <w:rsid w:val="00FF1E44"/>
    <w:rsid w:val="00FF2B93"/>
    <w:rsid w:val="00FF776C"/>
    <w:rsid w:val="147914B0"/>
    <w:rsid w:val="3CCE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widowControl/>
      <w:numPr>
        <w:ilvl w:val="1"/>
        <w:numId w:val="1"/>
      </w:numPr>
      <w:tabs>
        <w:tab w:val="left" w:pos="900"/>
        <w:tab w:val="left" w:pos="4820"/>
      </w:tabs>
      <w:autoSpaceDE w:val="0"/>
      <w:autoSpaceDN w:val="0"/>
      <w:adjustRightInd w:val="0"/>
      <w:spacing w:line="360" w:lineRule="auto"/>
      <w:textAlignment w:val="baseline"/>
      <w:outlineLvl w:val="1"/>
    </w:pPr>
    <w:rPr>
      <w:rFonts w:ascii="Times New Roman" w:hAnsi="Times New Roman" w:eastAsia="楷体_GB2312"/>
      <w:kern w:val="0"/>
      <w:sz w:val="24"/>
      <w:szCs w:val="20"/>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uiPriority w:val="0"/>
    <w:pPr>
      <w:jc w:val="left"/>
    </w:pPr>
    <w:rPr>
      <w:rFonts w:ascii="Arial" w:hAnsi="Arial"/>
      <w:sz w:val="23"/>
    </w:rPr>
  </w:style>
  <w:style w:type="paragraph" w:styleId="7">
    <w:name w:val="Body Text"/>
    <w:basedOn w:val="1"/>
    <w:link w:val="31"/>
    <w:uiPriority w:val="0"/>
    <w:pPr>
      <w:widowControl/>
      <w:tabs>
        <w:tab w:val="left" w:pos="-720"/>
      </w:tabs>
      <w:suppressAutoHyphens/>
      <w:spacing w:line="240" w:lineRule="atLeast"/>
    </w:pPr>
    <w:rPr>
      <w:rFonts w:ascii="Times New Roman" w:hAnsi="Times New Roman" w:eastAsia="華康儷簡宋"/>
      <w:i/>
      <w:color w:val="000000"/>
      <w:spacing w:val="-3"/>
      <w:kern w:val="0"/>
      <w:sz w:val="24"/>
      <w:szCs w:val="20"/>
      <w:lang w:eastAsia="zh-TW"/>
    </w:rPr>
  </w:style>
  <w:style w:type="paragraph" w:styleId="8">
    <w:name w:val="Balloon Text"/>
    <w:basedOn w:val="1"/>
    <w:link w:val="32"/>
    <w:unhideWhenUsed/>
    <w:uiPriority w:val="99"/>
    <w:rPr>
      <w:sz w:val="18"/>
      <w:szCs w:val="18"/>
    </w:rPr>
  </w:style>
  <w:style w:type="paragraph" w:styleId="9">
    <w:name w:val="footer"/>
    <w:basedOn w:val="1"/>
    <w:link w:val="30"/>
    <w:unhideWhenUsed/>
    <w:uiPriority w:val="99"/>
    <w:pPr>
      <w:tabs>
        <w:tab w:val="center" w:pos="4153"/>
        <w:tab w:val="right" w:pos="8306"/>
      </w:tabs>
      <w:snapToGrid w:val="0"/>
      <w:jc w:val="left"/>
    </w:pPr>
    <w:rPr>
      <w:sz w:val="18"/>
      <w:szCs w:val="18"/>
    </w:rPr>
  </w:style>
  <w:style w:type="paragraph" w:styleId="10">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left" w:pos="1050"/>
        <w:tab w:val="right" w:leader="dot" w:pos="8296"/>
      </w:tabs>
    </w:pPr>
    <w:rPr>
      <w:rFonts w:ascii="Times New Roman" w:hAnsi="Times New Roman"/>
      <w:sz w:val="24"/>
    </w:rPr>
  </w:style>
  <w:style w:type="paragraph" w:styleId="12">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3">
    <w:name w:val="toc 2"/>
    <w:basedOn w:val="1"/>
    <w:next w:val="1"/>
    <w:unhideWhenUsed/>
    <w:uiPriority w:val="39"/>
    <w:pPr>
      <w:ind w:left="420" w:leftChars="200"/>
    </w:pPr>
    <w:rPr>
      <w:sz w:val="24"/>
    </w:rPr>
  </w:style>
  <w:style w:type="paragraph" w:styleId="14">
    <w:name w:val="Title"/>
    <w:basedOn w:val="1"/>
    <w:next w:val="1"/>
    <w:link w:val="40"/>
    <w:qFormat/>
    <w:uiPriority w:val="10"/>
    <w:pPr>
      <w:spacing w:before="240" w:after="60"/>
      <w:jc w:val="center"/>
      <w:outlineLvl w:val="0"/>
    </w:pPr>
    <w:rPr>
      <w:rFonts w:ascii="Cambria" w:hAnsi="Cambria"/>
      <w:b/>
      <w:bCs/>
      <w:sz w:val="32"/>
      <w:szCs w:val="32"/>
    </w:rPr>
  </w:style>
  <w:style w:type="paragraph" w:styleId="15">
    <w:name w:val="annotation subject"/>
    <w:basedOn w:val="6"/>
    <w:next w:val="6"/>
    <w:link w:val="39"/>
    <w:unhideWhenUsed/>
    <w:uiPriority w:val="99"/>
    <w:rPr>
      <w:rFonts w:ascii="Calibri" w:hAnsi="Calibri"/>
      <w:b/>
      <w:bCs/>
      <w:sz w:val="21"/>
    </w:rPr>
  </w:style>
  <w:style w:type="character" w:styleId="18">
    <w:name w:val="Hyperlink"/>
    <w:basedOn w:val="17"/>
    <w:unhideWhenUsed/>
    <w:uiPriority w:val="99"/>
    <w:rPr>
      <w:color w:val="0000FF"/>
      <w:u w:val="single"/>
    </w:rPr>
  </w:style>
  <w:style w:type="character" w:styleId="19">
    <w:name w:val="annotation reference"/>
    <w:uiPriority w:val="0"/>
    <w:rPr>
      <w:sz w:val="21"/>
    </w:rPr>
  </w:style>
  <w:style w:type="paragraph" w:customStyle="1" w:styleId="20">
    <w:name w:val="列出段落1"/>
    <w:basedOn w:val="1"/>
    <w:qFormat/>
    <w:uiPriority w:val="34"/>
    <w:pPr>
      <w:ind w:firstLine="420" w:firstLineChars="200"/>
    </w:pPr>
  </w:style>
  <w:style w:type="paragraph" w:customStyle="1" w:styleId="21">
    <w:name w:val="A2"/>
    <w:basedOn w:val="1"/>
    <w:next w:val="1"/>
    <w:uiPriority w:val="0"/>
    <w:pPr>
      <w:tabs>
        <w:tab w:val="left" w:pos="782"/>
        <w:tab w:val="left" w:pos="1440"/>
        <w:tab w:val="left" w:pos="2160"/>
        <w:tab w:val="left" w:pos="2880"/>
        <w:tab w:val="left" w:pos="3600"/>
        <w:tab w:val="left" w:pos="4228"/>
        <w:tab w:val="left" w:pos="4796"/>
        <w:tab w:val="left" w:pos="5362"/>
        <w:tab w:val="left" w:pos="5930"/>
        <w:tab w:val="left" w:pos="6496"/>
        <w:tab w:val="left" w:pos="7064"/>
        <w:tab w:val="left" w:pos="7630"/>
        <w:tab w:val="left" w:pos="8197"/>
        <w:tab w:val="left" w:pos="8764"/>
      </w:tabs>
      <w:suppressAutoHyphens/>
      <w:autoSpaceDE w:val="0"/>
      <w:autoSpaceDN w:val="0"/>
      <w:adjustRightInd w:val="0"/>
      <w:outlineLvl w:val="1"/>
    </w:pPr>
    <w:rPr>
      <w:rFonts w:ascii="Times New Roman" w:hAnsi="Times New Roman"/>
      <w:sz w:val="24"/>
      <w:szCs w:val="24"/>
    </w:rPr>
  </w:style>
  <w:style w:type="paragraph" w:customStyle="1" w:styleId="22">
    <w:name w:val="Body Text Sgl J"/>
    <w:basedOn w:val="1"/>
    <w:uiPriority w:val="0"/>
    <w:pPr>
      <w:widowControl/>
      <w:spacing w:after="240"/>
      <w:ind w:firstLine="1440"/>
    </w:pPr>
    <w:rPr>
      <w:rFonts w:ascii="Times New Roman" w:hAnsi="Times New Roman" w:eastAsia="Times New Roman"/>
      <w:kern w:val="0"/>
      <w:sz w:val="24"/>
      <w:szCs w:val="20"/>
      <w:lang w:eastAsia="en-US"/>
    </w:rPr>
  </w:style>
  <w:style w:type="paragraph" w:customStyle="1" w:styleId="23">
    <w:name w:val="Dehai_Sub Para"/>
    <w:basedOn w:val="1"/>
    <w:uiPriority w:val="0"/>
    <w:pPr>
      <w:numPr>
        <w:ilvl w:val="0"/>
        <w:numId w:val="2"/>
      </w:numPr>
      <w:snapToGrid w:val="0"/>
      <w:spacing w:after="240"/>
    </w:pPr>
    <w:rPr>
      <w:rFonts w:ascii="Arial" w:hAnsi="Arial"/>
      <w:b/>
      <w:sz w:val="23"/>
      <w:szCs w:val="20"/>
    </w:rPr>
  </w:style>
  <w:style w:type="paragraph" w:customStyle="1" w:styleId="24">
    <w:name w:val="Center Single"/>
    <w:basedOn w:val="1"/>
    <w:uiPriority w:val="0"/>
    <w:pPr>
      <w:spacing w:before="240" w:after="240" w:line="380" w:lineRule="exact"/>
      <w:jc w:val="center"/>
    </w:pPr>
    <w:rPr>
      <w:rFonts w:ascii="Times New Roman" w:hAnsi="Times New Roman" w:eastAsia="华文楷体"/>
      <w:sz w:val="22"/>
      <w:szCs w:val="28"/>
      <w:lang w:eastAsia="zh-TW"/>
    </w:rPr>
  </w:style>
  <w:style w:type="paragraph" w:customStyle="1" w:styleId="25">
    <w:name w:val="JX Chi-Agt Heading 1"/>
    <w:basedOn w:val="1"/>
    <w:next w:val="1"/>
    <w:uiPriority w:val="99"/>
    <w:pPr>
      <w:keepNext/>
      <w:numPr>
        <w:ilvl w:val="0"/>
        <w:numId w:val="3"/>
      </w:numPr>
      <w:spacing w:after="240"/>
    </w:pPr>
    <w:rPr>
      <w:rFonts w:ascii="Times New Roman" w:hAnsi="Times New Roman"/>
      <w:b/>
      <w:bCs/>
      <w:sz w:val="24"/>
      <w:szCs w:val="24"/>
    </w:rPr>
  </w:style>
  <w:style w:type="paragraph" w:customStyle="1" w:styleId="26">
    <w:name w:val="JX Chi-Agt Heading 2"/>
    <w:basedOn w:val="25"/>
    <w:uiPriority w:val="99"/>
    <w:pPr>
      <w:numPr>
        <w:ilvl w:val="1"/>
      </w:numPr>
      <w:spacing w:line="360" w:lineRule="exact"/>
    </w:pPr>
    <w:rPr>
      <w:b w:val="0"/>
      <w:bCs w:val="0"/>
    </w:rPr>
  </w:style>
  <w:style w:type="paragraph" w:customStyle="1" w:styleId="27">
    <w:name w:val="JX Chi-Agt Heading 3"/>
    <w:basedOn w:val="26"/>
    <w:uiPriority w:val="99"/>
    <w:pPr>
      <w:numPr>
        <w:ilvl w:val="2"/>
      </w:numPr>
    </w:pPr>
  </w:style>
  <w:style w:type="paragraph" w:customStyle="1" w:styleId="28">
    <w:name w:val="List Paragraph1"/>
    <w:basedOn w:val="1"/>
    <w:qFormat/>
    <w:uiPriority w:val="34"/>
    <w:pPr>
      <w:ind w:firstLine="420" w:firstLineChars="200"/>
    </w:pPr>
  </w:style>
  <w:style w:type="character" w:customStyle="1" w:styleId="29">
    <w:name w:val="页眉字符"/>
    <w:basedOn w:val="17"/>
    <w:link w:val="10"/>
    <w:uiPriority w:val="99"/>
    <w:rPr>
      <w:sz w:val="18"/>
      <w:szCs w:val="18"/>
    </w:rPr>
  </w:style>
  <w:style w:type="character" w:customStyle="1" w:styleId="30">
    <w:name w:val="页脚字符"/>
    <w:basedOn w:val="17"/>
    <w:link w:val="9"/>
    <w:uiPriority w:val="99"/>
    <w:rPr>
      <w:sz w:val="18"/>
      <w:szCs w:val="18"/>
    </w:rPr>
  </w:style>
  <w:style w:type="character" w:customStyle="1" w:styleId="31">
    <w:name w:val="正文文本字符"/>
    <w:basedOn w:val="17"/>
    <w:link w:val="7"/>
    <w:uiPriority w:val="0"/>
    <w:rPr>
      <w:rFonts w:ascii="Times New Roman" w:hAnsi="Times New Roman" w:eastAsia="華康儷簡宋" w:cs="Times New Roman"/>
      <w:i/>
      <w:color w:val="000000"/>
      <w:spacing w:val="-3"/>
      <w:kern w:val="0"/>
      <w:sz w:val="24"/>
      <w:szCs w:val="20"/>
      <w:lang w:eastAsia="zh-TW"/>
    </w:rPr>
  </w:style>
  <w:style w:type="character" w:customStyle="1" w:styleId="32">
    <w:name w:val="批注框文本字符"/>
    <w:basedOn w:val="17"/>
    <w:link w:val="8"/>
    <w:uiPriority w:val="99"/>
    <w:rPr>
      <w:sz w:val="18"/>
      <w:szCs w:val="18"/>
    </w:rPr>
  </w:style>
  <w:style w:type="character" w:customStyle="1" w:styleId="33">
    <w:name w:val="批注文字字符"/>
    <w:link w:val="6"/>
    <w:uiPriority w:val="0"/>
    <w:rPr>
      <w:rFonts w:ascii="Arial" w:hAnsi="Arial"/>
      <w:sz w:val="23"/>
    </w:rPr>
  </w:style>
  <w:style w:type="character" w:customStyle="1" w:styleId="34">
    <w:name w:val="批注文字 Char1"/>
    <w:basedOn w:val="17"/>
    <w:semiHidden/>
    <w:uiPriority w:val="99"/>
  </w:style>
  <w:style w:type="character" w:customStyle="1" w:styleId="35">
    <w:name w:val="标题 2字符"/>
    <w:basedOn w:val="17"/>
    <w:link w:val="3"/>
    <w:uiPriority w:val="0"/>
    <w:rPr>
      <w:rFonts w:ascii="Times New Roman" w:hAnsi="Times New Roman" w:eastAsia="楷体_GB2312" w:cs="Times New Roman"/>
      <w:kern w:val="0"/>
      <w:sz w:val="24"/>
      <w:szCs w:val="20"/>
    </w:rPr>
  </w:style>
  <w:style w:type="character" w:customStyle="1" w:styleId="36">
    <w:name w:val="副标题字符"/>
    <w:basedOn w:val="17"/>
    <w:link w:val="12"/>
    <w:uiPriority w:val="11"/>
    <w:rPr>
      <w:rFonts w:ascii="Cambria" w:hAnsi="Cambria" w:eastAsia="宋体"/>
      <w:b/>
      <w:bCs/>
      <w:kern w:val="28"/>
      <w:sz w:val="32"/>
      <w:szCs w:val="32"/>
    </w:rPr>
  </w:style>
  <w:style w:type="character" w:customStyle="1" w:styleId="37">
    <w:name w:val="标题 1字符"/>
    <w:basedOn w:val="17"/>
    <w:link w:val="2"/>
    <w:uiPriority w:val="9"/>
    <w:rPr>
      <w:b/>
      <w:bCs/>
      <w:kern w:val="44"/>
      <w:sz w:val="44"/>
      <w:szCs w:val="44"/>
    </w:rPr>
  </w:style>
  <w:style w:type="character" w:customStyle="1" w:styleId="38">
    <w:name w:val="标题 3字符"/>
    <w:basedOn w:val="17"/>
    <w:link w:val="4"/>
    <w:uiPriority w:val="9"/>
    <w:rPr>
      <w:b/>
      <w:bCs/>
      <w:sz w:val="32"/>
      <w:szCs w:val="32"/>
    </w:rPr>
  </w:style>
  <w:style w:type="character" w:customStyle="1" w:styleId="39">
    <w:name w:val="批注主题字符"/>
    <w:basedOn w:val="33"/>
    <w:link w:val="15"/>
    <w:semiHidden/>
    <w:uiPriority w:val="99"/>
    <w:rPr>
      <w:rFonts w:ascii="Arial" w:hAnsi="Arial"/>
      <w:b/>
      <w:bCs/>
      <w:sz w:val="23"/>
    </w:rPr>
  </w:style>
  <w:style w:type="character" w:customStyle="1" w:styleId="40">
    <w:name w:val="标题字符"/>
    <w:basedOn w:val="17"/>
    <w:link w:val="14"/>
    <w:uiPriority w:val="10"/>
    <w:rPr>
      <w:rFonts w:ascii="Cambria" w:hAnsi="Cambria" w:eastAsia="宋体"/>
      <w:b/>
      <w:bCs/>
      <w:sz w:val="32"/>
      <w:szCs w:val="32"/>
    </w:rPr>
  </w:style>
  <w:style w:type="character" w:customStyle="1" w:styleId="41">
    <w:name w:val="标题 4字符"/>
    <w:basedOn w:val="17"/>
    <w:link w:val="5"/>
    <w:uiPriority w:val="9"/>
    <w:rPr>
      <w:rFonts w:ascii="Cambria" w:hAnsi="Cambria" w:eastAsia="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4"/>
    <customShpInfo spid="_x0000_s205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6851</Words>
  <Characters>7225</Characters>
  <Lines>68</Lines>
  <Paragraphs>19</Paragraphs>
  <TotalTime>1</TotalTime>
  <ScaleCrop>false</ScaleCrop>
  <LinksUpToDate>false</LinksUpToDate>
  <CharactersWithSpaces>7554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2013-04-07T10:01:00Z</dcterms:created>
  <dc:creator>User</dc:creator>
  <cp:lastModifiedBy>¨  南山</cp:lastModifiedBy>
  <cp:lastPrinted>2013-05-02T04:32:00Z</cp:lastPrinted>
  <dcterms:modified xsi:type="dcterms:W3CDTF">2022-04-19T10:51:22Z</dcterms:modified>
  <dc:title>关于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0EDF52F495B24D92A08DFBAB74341219</vt:lpwstr>
  </property>
</Properties>
</file>